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B84531" w:rsidP="00A16B23">
            <w:pPr>
              <w:rPr>
                <w:b/>
              </w:rPr>
            </w:pPr>
            <w:r>
              <w:rPr>
                <w:rStyle w:val="Firstpagetablebold"/>
              </w:rPr>
              <w:t xml:space="preserve">13 </w:t>
            </w:r>
            <w:r w:rsidR="00D71D8D">
              <w:rPr>
                <w:rStyle w:val="Firstpagetablebold"/>
              </w:rPr>
              <w:t>February 201</w:t>
            </w:r>
            <w:r>
              <w:rPr>
                <w:rStyle w:val="Firstpagetablebold"/>
              </w:rPr>
              <w:t>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D71D8D" w:rsidP="004A6D2F">
            <w:pPr>
              <w:rPr>
                <w:rStyle w:val="Firstpagetablebold"/>
              </w:rPr>
            </w:pPr>
            <w:r w:rsidRPr="00D71D8D">
              <w:rPr>
                <w:rStyle w:val="Firstpagetablebold"/>
              </w:rPr>
              <w:t>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B84531" w:rsidP="00B84531">
            <w:pPr>
              <w:rPr>
                <w:rStyle w:val="Firstpagetablebold"/>
              </w:rPr>
            </w:pPr>
            <w:r>
              <w:rPr>
                <w:rStyle w:val="Firstpagetablebold"/>
              </w:rPr>
              <w:t>Treasury Management Strategy 2018/19</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D56D5C" w:rsidP="008D51B8">
            <w:r w:rsidRPr="00D56D5C">
              <w:t>To present the Council’s Treasury Management Strategy for 201</w:t>
            </w:r>
            <w:r w:rsidR="00B84531">
              <w:t>8</w:t>
            </w:r>
            <w:r w:rsidRPr="00D56D5C">
              <w:t>/1</w:t>
            </w:r>
            <w:r w:rsidR="00B84531">
              <w:t>9</w:t>
            </w:r>
            <w:r w:rsidRPr="00D56D5C">
              <w:t xml:space="preserve"> together with the Prudential Indicators for 201</w:t>
            </w:r>
            <w:r w:rsidR="00B84531">
              <w:t>8</w:t>
            </w:r>
            <w:r w:rsidRPr="00D56D5C">
              <w:t>/1</w:t>
            </w:r>
            <w:r w:rsidR="00B84531">
              <w:t>9</w:t>
            </w:r>
            <w:r w:rsidR="0026510E">
              <w:t xml:space="preserve"> to 202</w:t>
            </w:r>
            <w:r w:rsidR="008D51B8">
              <w:t>1</w:t>
            </w:r>
            <w:r w:rsidR="0026510E">
              <w:t>/2</w:t>
            </w:r>
            <w:r w:rsidR="008D51B8">
              <w:t>2</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D56D5C">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71D8D" w:rsidP="00A23FEE">
            <w:r w:rsidRPr="00D71D8D">
              <w:t>Councillor Ed Turner, (Deputy Leader) Finance, Asset Management and Public Health</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D71D8D" w:rsidP="005F7F7E">
            <w:r>
              <w:t>None</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D5547E" w:rsidP="005F7F7E"/>
        </w:tc>
      </w:tr>
      <w:tr w:rsidR="005F7F7E" w:rsidRPr="00975B07" w:rsidTr="00A46E98">
        <w:trPr>
          <w:trHeight w:val="413"/>
        </w:trPr>
        <w:tc>
          <w:tcPr>
            <w:tcW w:w="8845" w:type="dxa"/>
            <w:gridSpan w:val="3"/>
            <w:tcBorders>
              <w:bottom w:val="single" w:sz="8" w:space="0" w:color="000000"/>
            </w:tcBorders>
          </w:tcPr>
          <w:p w:rsidR="005F7F7E" w:rsidRPr="00975B07" w:rsidRDefault="005F7F7E" w:rsidP="004A6D2F">
            <w:r>
              <w:rPr>
                <w:rStyle w:val="Firstpagetablebold"/>
              </w:rPr>
              <w:t>Recommendation(s):That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30208D" w:rsidP="004A6D2F"/>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D71D8D" w:rsidP="00D71D8D">
            <w:r>
              <w:rPr>
                <w:rStyle w:val="Firstpagetablebold"/>
              </w:rPr>
              <w:t>Recommend that Council approves:</w:t>
            </w:r>
            <w:r w:rsidR="0030208D" w:rsidRPr="001356F1">
              <w:t xml:space="preserve"> </w:t>
            </w:r>
          </w:p>
        </w:tc>
      </w:tr>
      <w:tr w:rsidR="0030208D" w:rsidRPr="00D71D8D" w:rsidTr="00A46E98">
        <w:trPr>
          <w:trHeight w:val="283"/>
        </w:trPr>
        <w:tc>
          <w:tcPr>
            <w:tcW w:w="426" w:type="dxa"/>
            <w:tcBorders>
              <w:top w:val="nil"/>
              <w:left w:val="single" w:sz="8" w:space="0" w:color="000000"/>
              <w:bottom w:val="nil"/>
              <w:right w:val="nil"/>
            </w:tcBorders>
          </w:tcPr>
          <w:p w:rsidR="0030208D" w:rsidRPr="00D71D8D" w:rsidRDefault="00D71D8D" w:rsidP="00D71D8D">
            <w:r w:rsidRPr="00D71D8D">
              <w:t>1</w:t>
            </w:r>
            <w:r w:rsidR="00046D2B" w:rsidRPr="00D71D8D">
              <w:t>.</w:t>
            </w:r>
          </w:p>
        </w:tc>
        <w:tc>
          <w:tcPr>
            <w:tcW w:w="8419" w:type="dxa"/>
            <w:gridSpan w:val="2"/>
            <w:tcBorders>
              <w:top w:val="nil"/>
              <w:left w:val="nil"/>
              <w:bottom w:val="nil"/>
              <w:right w:val="single" w:sz="8" w:space="0" w:color="000000"/>
            </w:tcBorders>
            <w:shd w:val="clear" w:color="auto" w:fill="auto"/>
          </w:tcPr>
          <w:p w:rsidR="0030208D" w:rsidRPr="00D71D8D" w:rsidRDefault="009010D8" w:rsidP="0017543A">
            <w:r w:rsidRPr="009010D8">
              <w:t xml:space="preserve">The Treasury Management Strategy 2018/19 as set out in paragraphs </w:t>
            </w:r>
            <w:r w:rsidR="0017543A">
              <w:t>7</w:t>
            </w:r>
            <w:r w:rsidR="0017543A" w:rsidRPr="009010D8">
              <w:t xml:space="preserve"> </w:t>
            </w:r>
            <w:r w:rsidRPr="009010D8">
              <w:t xml:space="preserve">to </w:t>
            </w:r>
            <w:r w:rsidR="0017543A" w:rsidRPr="009010D8">
              <w:t>4</w:t>
            </w:r>
            <w:r w:rsidR="0017543A">
              <w:t>3</w:t>
            </w:r>
            <w:r w:rsidR="0017543A" w:rsidRPr="009010D8">
              <w:t xml:space="preserve"> </w:t>
            </w:r>
            <w:r w:rsidRPr="009010D8">
              <w:t>and the Prudential Indicators for 2018/19 – 202</w:t>
            </w:r>
            <w:r w:rsidR="008D51B8">
              <w:t>1</w:t>
            </w:r>
            <w:r w:rsidRPr="009010D8">
              <w:t>/</w:t>
            </w:r>
            <w:r w:rsidR="008D51B8" w:rsidRPr="009010D8">
              <w:t>2</w:t>
            </w:r>
            <w:r w:rsidR="008D51B8">
              <w:t>2</w:t>
            </w:r>
            <w:r w:rsidR="008D51B8" w:rsidRPr="009010D8">
              <w:t xml:space="preserve"> </w:t>
            </w:r>
            <w:r w:rsidRPr="009010D8">
              <w:t>as set out in Appendix 2;</w:t>
            </w:r>
          </w:p>
        </w:tc>
      </w:tr>
      <w:tr w:rsidR="00232F5B" w:rsidRPr="00D71D8D" w:rsidTr="00A46E98">
        <w:trPr>
          <w:trHeight w:val="283"/>
        </w:trPr>
        <w:tc>
          <w:tcPr>
            <w:tcW w:w="426" w:type="dxa"/>
            <w:tcBorders>
              <w:top w:val="nil"/>
              <w:left w:val="single" w:sz="8" w:space="0" w:color="000000"/>
              <w:bottom w:val="nil"/>
              <w:right w:val="nil"/>
            </w:tcBorders>
          </w:tcPr>
          <w:p w:rsidR="0030208D" w:rsidRPr="00D71D8D" w:rsidRDefault="00D71D8D" w:rsidP="004A6D2F">
            <w:r>
              <w:t>2</w:t>
            </w:r>
            <w:r w:rsidR="00046D2B" w:rsidRPr="00D71D8D">
              <w:t>.</w:t>
            </w:r>
          </w:p>
        </w:tc>
        <w:tc>
          <w:tcPr>
            <w:tcW w:w="8419" w:type="dxa"/>
            <w:gridSpan w:val="2"/>
            <w:tcBorders>
              <w:top w:val="nil"/>
              <w:left w:val="nil"/>
              <w:bottom w:val="nil"/>
              <w:right w:val="single" w:sz="8" w:space="0" w:color="000000"/>
            </w:tcBorders>
            <w:shd w:val="clear" w:color="auto" w:fill="auto"/>
          </w:tcPr>
          <w:p w:rsidR="0030208D" w:rsidRPr="00D71D8D" w:rsidRDefault="00D71D8D" w:rsidP="004A3128">
            <w:r w:rsidRPr="00D71D8D">
              <w:t xml:space="preserve">The Borrowing Strategy at paragraphs </w:t>
            </w:r>
            <w:r w:rsidR="009010D8" w:rsidRPr="009010D8">
              <w:t>1</w:t>
            </w:r>
            <w:r w:rsidR="004A3128">
              <w:t>2</w:t>
            </w:r>
            <w:r w:rsidR="009010D8" w:rsidRPr="009010D8">
              <w:t xml:space="preserve"> to 22</w:t>
            </w:r>
            <w:r w:rsidRPr="00D71D8D">
              <w:t>;</w:t>
            </w:r>
          </w:p>
        </w:tc>
      </w:tr>
      <w:tr w:rsidR="00232F5B" w:rsidRPr="00D71D8D" w:rsidTr="00A46E98">
        <w:trPr>
          <w:trHeight w:val="283"/>
        </w:trPr>
        <w:tc>
          <w:tcPr>
            <w:tcW w:w="426" w:type="dxa"/>
            <w:tcBorders>
              <w:top w:val="nil"/>
              <w:left w:val="single" w:sz="8" w:space="0" w:color="000000"/>
              <w:bottom w:val="nil"/>
              <w:right w:val="nil"/>
            </w:tcBorders>
          </w:tcPr>
          <w:p w:rsidR="0030208D" w:rsidRPr="00D71D8D" w:rsidRDefault="00D71D8D" w:rsidP="004A6D2F">
            <w:r>
              <w:t>3</w:t>
            </w:r>
            <w:r w:rsidR="00046D2B" w:rsidRPr="00D71D8D">
              <w:t>.</w:t>
            </w:r>
          </w:p>
        </w:tc>
        <w:tc>
          <w:tcPr>
            <w:tcW w:w="8419" w:type="dxa"/>
            <w:gridSpan w:val="2"/>
            <w:tcBorders>
              <w:top w:val="nil"/>
              <w:left w:val="nil"/>
              <w:bottom w:val="nil"/>
              <w:right w:val="single" w:sz="8" w:space="0" w:color="000000"/>
            </w:tcBorders>
            <w:shd w:val="clear" w:color="auto" w:fill="auto"/>
          </w:tcPr>
          <w:p w:rsidR="0030208D" w:rsidRPr="00D71D8D" w:rsidRDefault="00D71D8D" w:rsidP="0017543A">
            <w:r w:rsidRPr="00D71D8D">
              <w:rPr>
                <w:rStyle w:val="Firstpagetablebold"/>
                <w:b w:val="0"/>
              </w:rPr>
              <w:t>The Minimum Revenue Provision</w:t>
            </w:r>
            <w:r w:rsidR="009010D8">
              <w:rPr>
                <w:rStyle w:val="Firstpagetablebold"/>
                <w:b w:val="0"/>
              </w:rPr>
              <w:t xml:space="preserve"> (MRP) Statement at paragraphs 2</w:t>
            </w:r>
            <w:r w:rsidR="0017543A">
              <w:rPr>
                <w:rStyle w:val="Firstpagetablebold"/>
                <w:b w:val="0"/>
              </w:rPr>
              <w:t>3</w:t>
            </w:r>
            <w:r w:rsidRPr="00D71D8D">
              <w:rPr>
                <w:rStyle w:val="Firstpagetablebold"/>
                <w:b w:val="0"/>
              </w:rPr>
              <w:t xml:space="preserve"> to </w:t>
            </w:r>
            <w:r w:rsidR="0017543A" w:rsidRPr="00D71D8D">
              <w:rPr>
                <w:rStyle w:val="Firstpagetablebold"/>
                <w:b w:val="0"/>
              </w:rPr>
              <w:t>2</w:t>
            </w:r>
            <w:r w:rsidR="0017543A">
              <w:rPr>
                <w:rStyle w:val="Firstpagetablebold"/>
                <w:b w:val="0"/>
              </w:rPr>
              <w:t>4</w:t>
            </w:r>
            <w:r w:rsidR="0017543A" w:rsidRPr="00D71D8D">
              <w:rPr>
                <w:rStyle w:val="Firstpagetablebold"/>
                <w:b w:val="0"/>
              </w:rPr>
              <w:t xml:space="preserve"> </w:t>
            </w:r>
            <w:r w:rsidRPr="00D71D8D">
              <w:rPr>
                <w:rStyle w:val="Firstpagetablebold"/>
                <w:b w:val="0"/>
              </w:rPr>
              <w:t>which sets out the Council’s policy on charging borrowing to the revenue account; and</w:t>
            </w:r>
          </w:p>
        </w:tc>
      </w:tr>
      <w:tr w:rsidR="00232F5B" w:rsidRPr="00D71D8D" w:rsidTr="00A46E98">
        <w:trPr>
          <w:trHeight w:val="283"/>
        </w:trPr>
        <w:tc>
          <w:tcPr>
            <w:tcW w:w="426" w:type="dxa"/>
            <w:tcBorders>
              <w:top w:val="nil"/>
              <w:left w:val="single" w:sz="8" w:space="0" w:color="000000"/>
              <w:bottom w:val="single" w:sz="8" w:space="0" w:color="000000"/>
              <w:right w:val="nil"/>
            </w:tcBorders>
          </w:tcPr>
          <w:p w:rsidR="0030208D" w:rsidRPr="00D71D8D" w:rsidRDefault="00D71D8D" w:rsidP="004A6D2F">
            <w:r>
              <w:t>4</w:t>
            </w:r>
            <w:r w:rsidR="00046D2B" w:rsidRPr="00D71D8D">
              <w:t>.</w:t>
            </w:r>
          </w:p>
        </w:tc>
        <w:tc>
          <w:tcPr>
            <w:tcW w:w="8419" w:type="dxa"/>
            <w:gridSpan w:val="2"/>
            <w:tcBorders>
              <w:top w:val="nil"/>
              <w:left w:val="nil"/>
              <w:bottom w:val="single" w:sz="8" w:space="0" w:color="000000"/>
              <w:right w:val="single" w:sz="8" w:space="0" w:color="000000"/>
            </w:tcBorders>
            <w:shd w:val="clear" w:color="auto" w:fill="auto"/>
          </w:tcPr>
          <w:p w:rsidR="0030208D" w:rsidRPr="00D71D8D" w:rsidRDefault="00D71D8D" w:rsidP="0017543A">
            <w:r w:rsidRPr="00D71D8D">
              <w:t>The Investment Strategy for 201</w:t>
            </w:r>
            <w:r w:rsidR="0026510E">
              <w:t>8</w:t>
            </w:r>
            <w:r w:rsidRPr="00D71D8D">
              <w:t>/1</w:t>
            </w:r>
            <w:r w:rsidR="0026510E">
              <w:t>9</w:t>
            </w:r>
            <w:r w:rsidRPr="00D71D8D">
              <w:t xml:space="preserve"> and investment criteria as set out in paragraphs 2</w:t>
            </w:r>
            <w:r w:rsidR="0017543A">
              <w:t>5</w:t>
            </w:r>
            <w:r w:rsidR="009010D8">
              <w:t xml:space="preserve"> to </w:t>
            </w:r>
            <w:r w:rsidR="0017543A">
              <w:t>39</w:t>
            </w:r>
            <w:r w:rsidR="0017543A" w:rsidRPr="00D71D8D">
              <w:t xml:space="preserve"> </w:t>
            </w:r>
            <w:r w:rsidRPr="00D71D8D">
              <w:t>and Appendix 1.</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D71D8D" w:rsidP="004A6D2F">
            <w:r w:rsidRPr="00D71D8D">
              <w:t>Credit and Counterparty Risk Management</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D71D8D" w:rsidP="004A6D2F">
            <w:r w:rsidRPr="00D71D8D">
              <w:t>Prudential Indicators</w:t>
            </w:r>
            <w:r w:rsidR="00A0239F">
              <w:t xml:space="preserve"> 2018/19 – 2021/22</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D71D8D">
            <w:r w:rsidRPr="00975B07">
              <w:t xml:space="preserve">Appendix </w:t>
            </w:r>
            <w:r w:rsidR="00D71D8D">
              <w:t>3</w:t>
            </w:r>
          </w:p>
        </w:tc>
        <w:tc>
          <w:tcPr>
            <w:tcW w:w="6406" w:type="dxa"/>
            <w:tcBorders>
              <w:top w:val="nil"/>
              <w:left w:val="nil"/>
              <w:bottom w:val="single" w:sz="8" w:space="0" w:color="000000"/>
              <w:right w:val="single" w:sz="8" w:space="0" w:color="000000"/>
            </w:tcBorders>
          </w:tcPr>
          <w:p w:rsidR="0030208D" w:rsidRPr="001356F1" w:rsidRDefault="00D71D8D" w:rsidP="004A6D2F">
            <w:r w:rsidRPr="00D71D8D">
              <w:t>Risk Register</w:t>
            </w:r>
          </w:p>
        </w:tc>
      </w:tr>
    </w:tbl>
    <w:p w:rsidR="00A23FEE" w:rsidRDefault="00A23FEE">
      <w:pPr>
        <w:spacing w:after="0"/>
        <w:rPr>
          <w:b/>
        </w:rPr>
      </w:pPr>
      <w:r>
        <w:br w:type="page"/>
      </w:r>
    </w:p>
    <w:p w:rsidR="0040736F" w:rsidRPr="001356F1" w:rsidRDefault="00D71D8D" w:rsidP="004A6D2F">
      <w:pPr>
        <w:pStyle w:val="Heading1"/>
      </w:pPr>
      <w:r w:rsidRPr="00D71D8D">
        <w:lastRenderedPageBreak/>
        <w:t>Executive Summary</w:t>
      </w:r>
    </w:p>
    <w:p w:rsidR="0026510E" w:rsidRDefault="00D71D8D" w:rsidP="00D71D8D">
      <w:pPr>
        <w:numPr>
          <w:ilvl w:val="0"/>
          <w:numId w:val="34"/>
        </w:numPr>
        <w:spacing w:after="0"/>
        <w:contextualSpacing/>
        <w:rPr>
          <w:rFonts w:cs="Arial"/>
          <w:color w:val="auto"/>
          <w:lang w:eastAsia="en-US"/>
        </w:rPr>
      </w:pPr>
      <w:r w:rsidRPr="0026510E">
        <w:rPr>
          <w:rFonts w:cs="Arial"/>
          <w:color w:val="auto"/>
          <w:lang w:eastAsia="en-US"/>
        </w:rPr>
        <w:t xml:space="preserve">The Council’s Treasury Management Strategy has been written in accordance with the CIPFA Prudential Code and the CIPFA Treasury Management Code of Practice.  </w:t>
      </w:r>
    </w:p>
    <w:p w:rsidR="0026510E" w:rsidRDefault="0026510E" w:rsidP="0026510E">
      <w:pPr>
        <w:spacing w:after="0"/>
        <w:ind w:left="360"/>
        <w:contextualSpacing/>
        <w:rPr>
          <w:rFonts w:cs="Arial"/>
          <w:color w:val="auto"/>
          <w:lang w:eastAsia="en-US"/>
        </w:rPr>
      </w:pPr>
    </w:p>
    <w:p w:rsidR="00D71D8D" w:rsidRPr="0026510E" w:rsidRDefault="00D71D8D" w:rsidP="00D71D8D">
      <w:pPr>
        <w:numPr>
          <w:ilvl w:val="0"/>
          <w:numId w:val="34"/>
        </w:numPr>
        <w:spacing w:after="0"/>
        <w:contextualSpacing/>
        <w:rPr>
          <w:rFonts w:cs="Arial"/>
          <w:color w:val="auto"/>
          <w:lang w:eastAsia="en-US"/>
        </w:rPr>
      </w:pPr>
      <w:r w:rsidRPr="0026510E">
        <w:rPr>
          <w:rFonts w:cs="Arial"/>
          <w:color w:val="auto"/>
          <w:lang w:eastAsia="en-US"/>
        </w:rPr>
        <w:t>The report presents the Council’s prudential indicators for 201</w:t>
      </w:r>
      <w:r w:rsidR="0026510E">
        <w:rPr>
          <w:rFonts w:cs="Arial"/>
          <w:color w:val="auto"/>
          <w:lang w:eastAsia="en-US"/>
        </w:rPr>
        <w:t>8</w:t>
      </w:r>
      <w:r w:rsidRPr="0026510E">
        <w:rPr>
          <w:rFonts w:cs="Arial"/>
          <w:color w:val="auto"/>
          <w:lang w:eastAsia="en-US"/>
        </w:rPr>
        <w:t>/1</w:t>
      </w:r>
      <w:r w:rsidR="0026510E">
        <w:rPr>
          <w:rFonts w:cs="Arial"/>
          <w:color w:val="auto"/>
          <w:lang w:eastAsia="en-US"/>
        </w:rPr>
        <w:t>9 – 202</w:t>
      </w:r>
      <w:r w:rsidR="008D51B8">
        <w:rPr>
          <w:rFonts w:cs="Arial"/>
          <w:color w:val="auto"/>
          <w:lang w:eastAsia="en-US"/>
        </w:rPr>
        <w:t>1</w:t>
      </w:r>
      <w:r w:rsidR="0026510E">
        <w:rPr>
          <w:rFonts w:cs="Arial"/>
          <w:color w:val="auto"/>
          <w:lang w:eastAsia="en-US"/>
        </w:rPr>
        <w:t>/202</w:t>
      </w:r>
      <w:r w:rsidR="008D51B8">
        <w:rPr>
          <w:rFonts w:cs="Arial"/>
          <w:color w:val="auto"/>
          <w:lang w:eastAsia="en-US"/>
        </w:rPr>
        <w:t>2</w:t>
      </w:r>
      <w:r w:rsidR="0026510E">
        <w:rPr>
          <w:rFonts w:cs="Arial"/>
          <w:color w:val="auto"/>
          <w:lang w:eastAsia="en-US"/>
        </w:rPr>
        <w:t xml:space="preserve">. </w:t>
      </w:r>
      <w:r w:rsidRPr="0026510E">
        <w:rPr>
          <w:rFonts w:cs="Arial"/>
          <w:color w:val="auto"/>
          <w:lang w:eastAsia="en-US"/>
        </w:rPr>
        <w:t>Notable indicators include capital expenditure and borrowing limits as these are areas of significant activity.</w:t>
      </w:r>
    </w:p>
    <w:p w:rsidR="00D71D8D" w:rsidRPr="00D71D8D" w:rsidRDefault="00D71D8D" w:rsidP="00D71D8D">
      <w:pPr>
        <w:spacing w:after="0"/>
        <w:ind w:left="720"/>
        <w:contextualSpacing/>
        <w:rPr>
          <w:rFonts w:cs="Arial"/>
          <w:color w:val="auto"/>
          <w:lang w:eastAsia="en-US"/>
        </w:rPr>
      </w:pPr>
    </w:p>
    <w:p w:rsidR="00D71D8D" w:rsidRPr="002606B4" w:rsidRDefault="00D71D8D" w:rsidP="00D71D8D">
      <w:pPr>
        <w:numPr>
          <w:ilvl w:val="0"/>
          <w:numId w:val="34"/>
        </w:numPr>
        <w:spacing w:after="0"/>
        <w:contextualSpacing/>
        <w:rPr>
          <w:rFonts w:cs="Arial"/>
          <w:color w:val="auto"/>
          <w:lang w:eastAsia="en-US"/>
        </w:rPr>
      </w:pPr>
      <w:r w:rsidRPr="002606B4">
        <w:rPr>
          <w:rFonts w:cs="Arial"/>
          <w:color w:val="auto"/>
          <w:lang w:eastAsia="en-US"/>
        </w:rPr>
        <w:t xml:space="preserve">The average value of investments during the </w:t>
      </w:r>
      <w:r w:rsidR="002606B4" w:rsidRPr="002606B4">
        <w:rPr>
          <w:rFonts w:cs="Arial"/>
          <w:color w:val="auto"/>
          <w:lang w:eastAsia="en-US"/>
        </w:rPr>
        <w:t>calendar</w:t>
      </w:r>
      <w:r w:rsidRPr="002606B4">
        <w:rPr>
          <w:rFonts w:cs="Arial"/>
          <w:color w:val="auto"/>
          <w:lang w:eastAsia="en-US"/>
        </w:rPr>
        <w:t xml:space="preserve"> year to </w:t>
      </w:r>
      <w:r w:rsidR="002606B4" w:rsidRPr="002606B4">
        <w:rPr>
          <w:rFonts w:cs="Arial"/>
          <w:color w:val="auto"/>
          <w:lang w:eastAsia="en-US"/>
        </w:rPr>
        <w:t>31</w:t>
      </w:r>
      <w:r w:rsidR="002606B4" w:rsidRPr="002606B4">
        <w:rPr>
          <w:rFonts w:cs="Arial"/>
          <w:color w:val="auto"/>
          <w:vertAlign w:val="superscript"/>
          <w:lang w:eastAsia="en-US"/>
        </w:rPr>
        <w:t>st</w:t>
      </w:r>
      <w:r w:rsidR="002606B4" w:rsidRPr="002606B4">
        <w:rPr>
          <w:rFonts w:cs="Arial"/>
          <w:color w:val="auto"/>
          <w:lang w:eastAsia="en-US"/>
        </w:rPr>
        <w:t xml:space="preserve"> December 2017 was £93.7m</w:t>
      </w:r>
      <w:r w:rsidRPr="002606B4">
        <w:rPr>
          <w:rFonts w:cs="Arial"/>
          <w:color w:val="auto"/>
          <w:lang w:eastAsia="en-US"/>
        </w:rPr>
        <w:t>.  The actual daily value fluctuated between £</w:t>
      </w:r>
      <w:r w:rsidR="0026510E" w:rsidRPr="002606B4">
        <w:rPr>
          <w:rFonts w:cs="Arial"/>
          <w:color w:val="auto"/>
          <w:lang w:eastAsia="en-US"/>
        </w:rPr>
        <w:t>7</w:t>
      </w:r>
      <w:r w:rsidR="002606B4" w:rsidRPr="002606B4">
        <w:rPr>
          <w:rFonts w:cs="Arial"/>
          <w:color w:val="auto"/>
          <w:lang w:eastAsia="en-US"/>
        </w:rPr>
        <w:t>2.9</w:t>
      </w:r>
      <w:r w:rsidRPr="002606B4">
        <w:rPr>
          <w:rFonts w:cs="Arial"/>
          <w:color w:val="auto"/>
          <w:lang w:eastAsia="en-US"/>
        </w:rPr>
        <w:t>m to £</w:t>
      </w:r>
      <w:r w:rsidR="0026510E" w:rsidRPr="002606B4">
        <w:rPr>
          <w:rFonts w:cs="Arial"/>
          <w:color w:val="auto"/>
          <w:lang w:eastAsia="en-US"/>
        </w:rPr>
        <w:t>10</w:t>
      </w:r>
      <w:r w:rsidR="002606B4" w:rsidRPr="002606B4">
        <w:rPr>
          <w:rFonts w:cs="Arial"/>
          <w:color w:val="auto"/>
          <w:lang w:eastAsia="en-US"/>
        </w:rPr>
        <w:t>6.2</w:t>
      </w:r>
      <w:r w:rsidRPr="002606B4">
        <w:rPr>
          <w:rFonts w:cs="Arial"/>
          <w:color w:val="auto"/>
          <w:lang w:eastAsia="en-US"/>
        </w:rPr>
        <w:t xml:space="preserve">m.  This is an increase on the previous </w:t>
      </w:r>
      <w:r w:rsidR="002606B4" w:rsidRPr="002606B4">
        <w:rPr>
          <w:rFonts w:cs="Arial"/>
          <w:color w:val="auto"/>
          <w:lang w:eastAsia="en-US"/>
        </w:rPr>
        <w:t xml:space="preserve">calendar </w:t>
      </w:r>
      <w:r w:rsidRPr="002606B4">
        <w:rPr>
          <w:rFonts w:cs="Arial"/>
          <w:color w:val="auto"/>
          <w:lang w:eastAsia="en-US"/>
        </w:rPr>
        <w:t>year, when average balances were £</w:t>
      </w:r>
      <w:r w:rsidR="0026510E" w:rsidRPr="002606B4">
        <w:rPr>
          <w:rFonts w:cs="Arial"/>
          <w:color w:val="auto"/>
          <w:lang w:eastAsia="en-US"/>
        </w:rPr>
        <w:t>8</w:t>
      </w:r>
      <w:r w:rsidR="002606B4" w:rsidRPr="002606B4">
        <w:rPr>
          <w:rFonts w:cs="Arial"/>
          <w:color w:val="auto"/>
          <w:lang w:eastAsia="en-US"/>
        </w:rPr>
        <w:t>2.8</w:t>
      </w:r>
      <w:r w:rsidRPr="002606B4">
        <w:rPr>
          <w:rFonts w:cs="Arial"/>
          <w:color w:val="auto"/>
          <w:lang w:eastAsia="en-US"/>
        </w:rPr>
        <w:t>m and daily values ranged from £</w:t>
      </w:r>
      <w:r w:rsidR="0026510E" w:rsidRPr="002606B4">
        <w:rPr>
          <w:rFonts w:cs="Arial"/>
          <w:color w:val="auto"/>
          <w:lang w:eastAsia="en-US"/>
        </w:rPr>
        <w:t>6</w:t>
      </w:r>
      <w:r w:rsidR="002606B4" w:rsidRPr="002606B4">
        <w:rPr>
          <w:rFonts w:cs="Arial"/>
          <w:color w:val="auto"/>
          <w:lang w:eastAsia="en-US"/>
        </w:rPr>
        <w:t>2.9</w:t>
      </w:r>
      <w:r w:rsidRPr="002606B4">
        <w:rPr>
          <w:rFonts w:cs="Arial"/>
          <w:color w:val="auto"/>
          <w:lang w:eastAsia="en-US"/>
        </w:rPr>
        <w:t>m to £</w:t>
      </w:r>
      <w:r w:rsidR="0026510E" w:rsidRPr="002606B4">
        <w:rPr>
          <w:rFonts w:cs="Arial"/>
          <w:color w:val="auto"/>
          <w:lang w:eastAsia="en-US"/>
        </w:rPr>
        <w:t>9</w:t>
      </w:r>
      <w:r w:rsidR="002606B4" w:rsidRPr="002606B4">
        <w:rPr>
          <w:rFonts w:cs="Arial"/>
          <w:color w:val="auto"/>
          <w:lang w:eastAsia="en-US"/>
        </w:rPr>
        <w:t>8</w:t>
      </w:r>
      <w:r w:rsidRPr="002606B4">
        <w:rPr>
          <w:rFonts w:cs="Arial"/>
          <w:color w:val="auto"/>
          <w:lang w:eastAsia="en-US"/>
        </w:rPr>
        <w:t>.</w:t>
      </w:r>
      <w:r w:rsidR="002606B4" w:rsidRPr="002606B4">
        <w:rPr>
          <w:rFonts w:cs="Arial"/>
          <w:color w:val="auto"/>
          <w:lang w:eastAsia="en-US"/>
        </w:rPr>
        <w:t>8</w:t>
      </w:r>
      <w:r w:rsidRPr="002606B4">
        <w:rPr>
          <w:rFonts w:cs="Arial"/>
          <w:color w:val="auto"/>
          <w:lang w:eastAsia="en-US"/>
        </w:rPr>
        <w:t xml:space="preserve">m.  </w:t>
      </w:r>
    </w:p>
    <w:p w:rsidR="00D71D8D" w:rsidRPr="00D71D8D" w:rsidRDefault="00D71D8D" w:rsidP="00D71D8D">
      <w:pPr>
        <w:spacing w:after="0"/>
        <w:ind w:left="720"/>
        <w:contextualSpacing/>
        <w:rPr>
          <w:rFonts w:cs="Arial"/>
          <w:color w:val="auto"/>
          <w:lang w:eastAsia="en-US"/>
        </w:rPr>
      </w:pPr>
    </w:p>
    <w:p w:rsidR="00D71D8D" w:rsidRPr="00D71D8D" w:rsidRDefault="00D71D8D" w:rsidP="00D71D8D">
      <w:pPr>
        <w:numPr>
          <w:ilvl w:val="0"/>
          <w:numId w:val="34"/>
        </w:numPr>
        <w:spacing w:after="0"/>
        <w:contextualSpacing/>
        <w:rPr>
          <w:rFonts w:cs="Arial"/>
          <w:color w:val="auto"/>
          <w:lang w:eastAsia="en-US"/>
        </w:rPr>
      </w:pPr>
      <w:r w:rsidRPr="00D71D8D">
        <w:rPr>
          <w:rFonts w:cs="Arial"/>
          <w:color w:val="auto"/>
          <w:lang w:eastAsia="en-US"/>
        </w:rPr>
        <w:t>All external debt as at 31 March 201</w:t>
      </w:r>
      <w:r w:rsidR="0026510E">
        <w:rPr>
          <w:rFonts w:cs="Arial"/>
          <w:color w:val="auto"/>
          <w:lang w:eastAsia="en-US"/>
        </w:rPr>
        <w:t>8</w:t>
      </w:r>
      <w:r w:rsidRPr="00D71D8D">
        <w:rPr>
          <w:rFonts w:cs="Arial"/>
          <w:color w:val="auto"/>
          <w:lang w:eastAsia="en-US"/>
        </w:rPr>
        <w:t xml:space="preserve"> (£198.5m) relates to the Housing Revenue Account self-financing debt taken out in 2012 which is held at fixed rates with varying fixed periods to maturity.</w:t>
      </w:r>
    </w:p>
    <w:p w:rsidR="00D71D8D" w:rsidRPr="00D71D8D" w:rsidRDefault="00D71D8D" w:rsidP="00D71D8D">
      <w:pPr>
        <w:spacing w:after="0"/>
        <w:ind w:left="720"/>
        <w:contextualSpacing/>
        <w:rPr>
          <w:rFonts w:cs="Arial"/>
          <w:color w:val="auto"/>
          <w:lang w:eastAsia="en-US"/>
        </w:rPr>
      </w:pPr>
    </w:p>
    <w:p w:rsidR="00D71D8D" w:rsidRDefault="00D71D8D" w:rsidP="00D71D8D">
      <w:pPr>
        <w:numPr>
          <w:ilvl w:val="0"/>
          <w:numId w:val="34"/>
        </w:numPr>
        <w:spacing w:after="0"/>
        <w:contextualSpacing/>
        <w:rPr>
          <w:rFonts w:cs="Arial"/>
          <w:color w:val="auto"/>
          <w:lang w:eastAsia="en-US"/>
        </w:rPr>
      </w:pPr>
      <w:r w:rsidRPr="00A23FEE">
        <w:rPr>
          <w:rFonts w:cs="Arial"/>
          <w:color w:val="auto"/>
          <w:lang w:eastAsia="en-US"/>
        </w:rPr>
        <w:t>The Council’s General Fund Capital Programme over the next four years is funded from a combination of government grants, capital receipts, revenue, Community Infrastructure Levy and prudential borrowing.  However, due to the scale of investment over the period</w:t>
      </w:r>
      <w:r w:rsidR="002606B4">
        <w:rPr>
          <w:rFonts w:cs="Arial"/>
          <w:color w:val="auto"/>
          <w:lang w:eastAsia="en-US"/>
        </w:rPr>
        <w:t xml:space="preserve"> to 2021/22</w:t>
      </w:r>
      <w:r w:rsidRPr="00A23FEE">
        <w:rPr>
          <w:rFonts w:cs="Arial"/>
          <w:color w:val="auto"/>
          <w:lang w:eastAsia="en-US"/>
        </w:rPr>
        <w:t xml:space="preserve">, particularly the loans to the </w:t>
      </w:r>
      <w:r w:rsidRPr="00AA77C5">
        <w:rPr>
          <w:rFonts w:cs="Arial"/>
          <w:color w:val="auto"/>
          <w:lang w:eastAsia="en-US"/>
        </w:rPr>
        <w:t>Council’s Housing Company (£</w:t>
      </w:r>
      <w:r w:rsidR="0051623E">
        <w:rPr>
          <w:rFonts w:cs="Arial"/>
          <w:color w:val="auto"/>
          <w:lang w:eastAsia="en-US"/>
        </w:rPr>
        <w:t>68</w:t>
      </w:r>
      <w:r w:rsidR="002606B4" w:rsidRPr="00AA77C5">
        <w:rPr>
          <w:rFonts w:cs="Arial"/>
          <w:color w:val="auto"/>
          <w:lang w:eastAsia="en-US"/>
        </w:rPr>
        <w:t>.</w:t>
      </w:r>
      <w:r w:rsidR="007B255A">
        <w:rPr>
          <w:rFonts w:cs="Arial"/>
          <w:color w:val="auto"/>
          <w:lang w:eastAsia="en-US"/>
        </w:rPr>
        <w:t>7</w:t>
      </w:r>
      <w:r w:rsidR="007B255A" w:rsidRPr="00AA77C5">
        <w:rPr>
          <w:rFonts w:cs="Arial"/>
          <w:color w:val="auto"/>
          <w:lang w:eastAsia="en-US"/>
        </w:rPr>
        <w:t>m</w:t>
      </w:r>
      <w:r w:rsidRPr="00AA77C5">
        <w:rPr>
          <w:rFonts w:cs="Arial"/>
          <w:color w:val="auto"/>
          <w:lang w:eastAsia="en-US"/>
        </w:rPr>
        <w:t xml:space="preserve">), the level of prudential borrowing </w:t>
      </w:r>
      <w:r w:rsidR="00A23FEE" w:rsidRPr="00AA77C5">
        <w:rPr>
          <w:rFonts w:cs="Arial"/>
          <w:color w:val="auto"/>
          <w:lang w:eastAsia="en-US"/>
        </w:rPr>
        <w:t>will</w:t>
      </w:r>
      <w:r w:rsidRPr="00AA77C5">
        <w:rPr>
          <w:rFonts w:cs="Arial"/>
          <w:color w:val="auto"/>
          <w:lang w:eastAsia="en-US"/>
        </w:rPr>
        <w:t xml:space="preserve"> increase to </w:t>
      </w:r>
      <w:r w:rsidR="00A23FEE" w:rsidRPr="00AA77C5">
        <w:rPr>
          <w:rFonts w:cs="Arial"/>
          <w:color w:val="auto"/>
          <w:lang w:eastAsia="en-US"/>
        </w:rPr>
        <w:t xml:space="preserve">over </w:t>
      </w:r>
      <w:r w:rsidRPr="00AA77C5">
        <w:rPr>
          <w:rFonts w:cs="Arial"/>
          <w:color w:val="auto"/>
          <w:lang w:eastAsia="en-US"/>
        </w:rPr>
        <w:t>£</w:t>
      </w:r>
      <w:r w:rsidR="0017255D" w:rsidRPr="00AA77C5">
        <w:rPr>
          <w:rFonts w:cs="Arial"/>
          <w:color w:val="auto"/>
          <w:lang w:eastAsia="en-US"/>
        </w:rPr>
        <w:t>3</w:t>
      </w:r>
      <w:r w:rsidR="0017255D">
        <w:rPr>
          <w:rFonts w:cs="Arial"/>
          <w:color w:val="auto"/>
          <w:lang w:eastAsia="en-US"/>
        </w:rPr>
        <w:t>42.6</w:t>
      </w:r>
      <w:r w:rsidR="0017255D" w:rsidRPr="00AA77C5">
        <w:rPr>
          <w:rFonts w:cs="Arial"/>
          <w:color w:val="auto"/>
          <w:lang w:eastAsia="en-US"/>
        </w:rPr>
        <w:t xml:space="preserve"> </w:t>
      </w:r>
      <w:r w:rsidRPr="00AA77C5">
        <w:rPr>
          <w:rFonts w:cs="Arial"/>
          <w:color w:val="auto"/>
          <w:lang w:eastAsia="en-US"/>
        </w:rPr>
        <w:t>million</w:t>
      </w:r>
      <w:r w:rsidR="002606B4" w:rsidRPr="00AA77C5">
        <w:rPr>
          <w:rFonts w:cs="Arial"/>
          <w:color w:val="auto"/>
          <w:lang w:eastAsia="en-US"/>
        </w:rPr>
        <w:t xml:space="preserve"> </w:t>
      </w:r>
      <w:r w:rsidR="0017255D">
        <w:rPr>
          <w:rFonts w:cs="Arial"/>
          <w:color w:val="auto"/>
          <w:lang w:eastAsia="en-US"/>
        </w:rPr>
        <w:t xml:space="preserve">in 2021/22 </w:t>
      </w:r>
      <w:r w:rsidR="002606B4" w:rsidRPr="00AA77C5">
        <w:rPr>
          <w:rFonts w:cs="Arial"/>
          <w:color w:val="auto"/>
          <w:lang w:eastAsia="en-US"/>
        </w:rPr>
        <w:t xml:space="preserve">from the </w:t>
      </w:r>
      <w:r w:rsidR="0051623E">
        <w:rPr>
          <w:rFonts w:cs="Arial"/>
          <w:color w:val="auto"/>
          <w:lang w:eastAsia="en-US"/>
        </w:rPr>
        <w:t>projected</w:t>
      </w:r>
      <w:r w:rsidR="002B0E44">
        <w:rPr>
          <w:rFonts w:cs="Arial"/>
          <w:color w:val="auto"/>
          <w:lang w:eastAsia="en-US"/>
        </w:rPr>
        <w:t xml:space="preserve"> </w:t>
      </w:r>
      <w:r w:rsidR="002606B4" w:rsidRPr="00AA77C5">
        <w:rPr>
          <w:rFonts w:cs="Arial"/>
          <w:color w:val="auto"/>
          <w:lang w:eastAsia="en-US"/>
        </w:rPr>
        <w:t>£</w:t>
      </w:r>
      <w:r w:rsidR="0051623E">
        <w:rPr>
          <w:rFonts w:cs="Arial"/>
          <w:color w:val="auto"/>
          <w:lang w:eastAsia="en-US"/>
        </w:rPr>
        <w:t>238.6</w:t>
      </w:r>
      <w:r w:rsidR="002606B4" w:rsidRPr="00AA77C5">
        <w:rPr>
          <w:rFonts w:cs="Arial"/>
          <w:color w:val="auto"/>
          <w:lang w:eastAsia="en-US"/>
        </w:rPr>
        <w:t xml:space="preserve"> million</w:t>
      </w:r>
      <w:r w:rsidR="0017255D">
        <w:rPr>
          <w:rFonts w:cs="Arial"/>
          <w:color w:val="auto"/>
          <w:lang w:eastAsia="en-US"/>
        </w:rPr>
        <w:t xml:space="preserve"> </w:t>
      </w:r>
      <w:r w:rsidR="007B255A">
        <w:rPr>
          <w:rFonts w:cs="Arial"/>
          <w:color w:val="auto"/>
          <w:lang w:eastAsia="en-US"/>
        </w:rPr>
        <w:t>at the end of</w:t>
      </w:r>
      <w:r w:rsidR="0017255D">
        <w:rPr>
          <w:rFonts w:cs="Arial"/>
          <w:color w:val="auto"/>
          <w:lang w:eastAsia="en-US"/>
        </w:rPr>
        <w:t xml:space="preserve"> 201</w:t>
      </w:r>
      <w:r w:rsidR="0051623E">
        <w:rPr>
          <w:rFonts w:cs="Arial"/>
          <w:color w:val="auto"/>
          <w:lang w:eastAsia="en-US"/>
        </w:rPr>
        <w:t>7</w:t>
      </w:r>
      <w:r w:rsidR="0017255D">
        <w:rPr>
          <w:rFonts w:cs="Arial"/>
          <w:color w:val="auto"/>
          <w:lang w:eastAsia="en-US"/>
        </w:rPr>
        <w:t>/1</w:t>
      </w:r>
      <w:r w:rsidR="0051623E">
        <w:rPr>
          <w:rFonts w:cs="Arial"/>
          <w:color w:val="auto"/>
          <w:lang w:eastAsia="en-US"/>
        </w:rPr>
        <w:t>8</w:t>
      </w:r>
      <w:r w:rsidRPr="00AA77C5">
        <w:rPr>
          <w:rFonts w:cs="Arial"/>
          <w:color w:val="auto"/>
          <w:lang w:eastAsia="en-US"/>
        </w:rPr>
        <w:t>.  Borrowing from</w:t>
      </w:r>
      <w:r w:rsidRPr="00A23FEE">
        <w:rPr>
          <w:rFonts w:cs="Arial"/>
          <w:color w:val="auto"/>
          <w:lang w:eastAsia="en-US"/>
        </w:rPr>
        <w:t xml:space="preserve"> internal resources will be maximised, however much of the borrowing will need to be from external resources</w:t>
      </w:r>
      <w:r w:rsidR="0017255D">
        <w:rPr>
          <w:rFonts w:cs="Arial"/>
          <w:color w:val="auto"/>
          <w:lang w:eastAsia="en-US"/>
        </w:rPr>
        <w:t xml:space="preserve"> with anticipated external borrowing increasing from £198.5 million to £270.5 million in 2021/22</w:t>
      </w:r>
      <w:r w:rsidRPr="00A23FEE">
        <w:rPr>
          <w:rFonts w:cs="Arial"/>
          <w:color w:val="auto"/>
          <w:lang w:eastAsia="en-US"/>
        </w:rPr>
        <w:t>.</w:t>
      </w:r>
      <w:r w:rsidR="00A23FEE" w:rsidRPr="00A23FEE">
        <w:rPr>
          <w:rFonts w:cs="Arial"/>
          <w:color w:val="auto"/>
          <w:lang w:eastAsia="en-US"/>
        </w:rPr>
        <w:t xml:space="preserve">  </w:t>
      </w:r>
      <w:r w:rsidRPr="00A23FEE">
        <w:rPr>
          <w:rFonts w:cs="Arial"/>
          <w:color w:val="auto"/>
          <w:lang w:eastAsia="en-US"/>
        </w:rPr>
        <w:t xml:space="preserve">The Housing Capital Programme is funded directly from </w:t>
      </w:r>
      <w:r w:rsidR="00413FD8" w:rsidRPr="00A23FEE">
        <w:rPr>
          <w:rFonts w:cs="Arial"/>
          <w:color w:val="auto"/>
          <w:lang w:eastAsia="en-US"/>
        </w:rPr>
        <w:t>c</w:t>
      </w:r>
      <w:r w:rsidRPr="00A23FEE">
        <w:rPr>
          <w:rFonts w:cs="Arial"/>
          <w:color w:val="auto"/>
          <w:lang w:eastAsia="en-US"/>
        </w:rPr>
        <w:t xml:space="preserve">ouncil </w:t>
      </w:r>
      <w:r w:rsidR="00413FD8" w:rsidRPr="00A23FEE">
        <w:rPr>
          <w:rFonts w:cs="Arial"/>
          <w:color w:val="auto"/>
          <w:lang w:eastAsia="en-US"/>
        </w:rPr>
        <w:t>h</w:t>
      </w:r>
      <w:r w:rsidR="00A23FEE">
        <w:rPr>
          <w:rFonts w:cs="Arial"/>
          <w:color w:val="auto"/>
          <w:lang w:eastAsia="en-US"/>
        </w:rPr>
        <w:t>ouse rents.</w:t>
      </w:r>
    </w:p>
    <w:p w:rsidR="00A23FEE" w:rsidRDefault="00A23FEE" w:rsidP="00A23FEE">
      <w:pPr>
        <w:spacing w:after="0"/>
        <w:contextualSpacing/>
        <w:rPr>
          <w:rFonts w:cs="Arial"/>
          <w:color w:val="auto"/>
          <w:lang w:eastAsia="en-US"/>
        </w:rPr>
      </w:pPr>
    </w:p>
    <w:p w:rsidR="00A23FEE" w:rsidRDefault="002F4A90" w:rsidP="00D71D8D">
      <w:pPr>
        <w:numPr>
          <w:ilvl w:val="0"/>
          <w:numId w:val="34"/>
        </w:numPr>
        <w:spacing w:after="0"/>
        <w:contextualSpacing/>
        <w:rPr>
          <w:rFonts w:cs="Arial"/>
          <w:color w:val="auto"/>
          <w:lang w:eastAsia="en-US"/>
        </w:rPr>
      </w:pPr>
      <w:r>
        <w:rPr>
          <w:rFonts w:cs="Arial"/>
          <w:color w:val="auto"/>
          <w:lang w:eastAsia="en-US"/>
        </w:rPr>
        <w:t>Proposed changes to the 2018/19 Strategy include</w:t>
      </w:r>
      <w:r w:rsidR="00A23FEE">
        <w:rPr>
          <w:rFonts w:cs="Arial"/>
          <w:color w:val="auto"/>
          <w:lang w:eastAsia="en-US"/>
        </w:rPr>
        <w:t>:</w:t>
      </w:r>
    </w:p>
    <w:p w:rsidR="00A21637" w:rsidRDefault="00A21637" w:rsidP="00A21637">
      <w:pPr>
        <w:pStyle w:val="ListParagraph"/>
        <w:numPr>
          <w:ilvl w:val="0"/>
          <w:numId w:val="46"/>
        </w:numPr>
        <w:spacing w:after="0"/>
        <w:ind w:left="782" w:hanging="357"/>
        <w:rPr>
          <w:rFonts w:cs="Arial"/>
          <w:color w:val="auto"/>
          <w:lang w:eastAsia="en-US"/>
        </w:rPr>
      </w:pPr>
      <w:r>
        <w:rPr>
          <w:rFonts w:cs="Arial"/>
          <w:color w:val="auto"/>
          <w:lang w:eastAsia="en-US"/>
        </w:rPr>
        <w:t>A change in the methodology for measuring levels of investment balances</w:t>
      </w:r>
      <w:r w:rsidR="00716D5C">
        <w:rPr>
          <w:rFonts w:cs="Arial"/>
          <w:color w:val="auto"/>
          <w:lang w:eastAsia="en-US"/>
        </w:rPr>
        <w:t xml:space="preserve"> to assess counterparty investment levels</w:t>
      </w:r>
      <w:r>
        <w:rPr>
          <w:rFonts w:cs="Arial"/>
          <w:color w:val="auto"/>
          <w:lang w:eastAsia="en-US"/>
        </w:rPr>
        <w:t xml:space="preserve">.  The period over which they are </w:t>
      </w:r>
      <w:r w:rsidR="00716D5C">
        <w:rPr>
          <w:rFonts w:cs="Arial"/>
          <w:color w:val="auto"/>
          <w:lang w:eastAsia="en-US"/>
        </w:rPr>
        <w:t xml:space="preserve">now </w:t>
      </w:r>
      <w:r>
        <w:rPr>
          <w:rFonts w:cs="Arial"/>
          <w:color w:val="auto"/>
          <w:lang w:eastAsia="en-US"/>
        </w:rPr>
        <w:t>measured</w:t>
      </w:r>
      <w:r w:rsidR="00716D5C">
        <w:rPr>
          <w:rFonts w:cs="Arial"/>
          <w:color w:val="auto"/>
          <w:lang w:eastAsia="en-US"/>
        </w:rPr>
        <w:t xml:space="preserve"> is the prior calendar year i.e.</w:t>
      </w:r>
      <w:r>
        <w:rPr>
          <w:rFonts w:cs="Arial"/>
          <w:color w:val="auto"/>
          <w:lang w:eastAsia="en-US"/>
        </w:rPr>
        <w:t xml:space="preserve"> 1</w:t>
      </w:r>
      <w:r w:rsidRPr="00986C3E">
        <w:rPr>
          <w:rFonts w:cs="Arial"/>
          <w:color w:val="auto"/>
          <w:vertAlign w:val="superscript"/>
          <w:lang w:eastAsia="en-US"/>
        </w:rPr>
        <w:t>st</w:t>
      </w:r>
      <w:r>
        <w:rPr>
          <w:rFonts w:cs="Arial"/>
          <w:color w:val="auto"/>
          <w:lang w:eastAsia="en-US"/>
        </w:rPr>
        <w:t xml:space="preserve"> January </w:t>
      </w:r>
      <w:r w:rsidR="00716D5C">
        <w:rPr>
          <w:rFonts w:cs="Arial"/>
          <w:color w:val="auto"/>
          <w:lang w:eastAsia="en-US"/>
        </w:rPr>
        <w:t xml:space="preserve">2017 </w:t>
      </w:r>
      <w:r>
        <w:rPr>
          <w:rFonts w:cs="Arial"/>
          <w:color w:val="auto"/>
          <w:lang w:eastAsia="en-US"/>
        </w:rPr>
        <w:t>to 31</w:t>
      </w:r>
      <w:r w:rsidRPr="00986C3E">
        <w:rPr>
          <w:rFonts w:cs="Arial"/>
          <w:color w:val="auto"/>
          <w:vertAlign w:val="superscript"/>
          <w:lang w:eastAsia="en-US"/>
        </w:rPr>
        <w:t>st</w:t>
      </w:r>
      <w:r>
        <w:rPr>
          <w:rFonts w:cs="Arial"/>
          <w:color w:val="auto"/>
          <w:lang w:eastAsia="en-US"/>
        </w:rPr>
        <w:t xml:space="preserve"> December </w:t>
      </w:r>
      <w:r w:rsidR="00716D5C">
        <w:rPr>
          <w:rFonts w:cs="Arial"/>
          <w:color w:val="auto"/>
          <w:lang w:eastAsia="en-US"/>
        </w:rPr>
        <w:t>2017</w:t>
      </w:r>
    </w:p>
    <w:p w:rsidR="00716D5C" w:rsidRDefault="00716D5C" w:rsidP="00716D5C">
      <w:pPr>
        <w:pStyle w:val="ListParagraph"/>
        <w:numPr>
          <w:ilvl w:val="0"/>
          <w:numId w:val="46"/>
        </w:numPr>
        <w:spacing w:after="0"/>
        <w:rPr>
          <w:rFonts w:cs="Arial"/>
          <w:color w:val="auto"/>
          <w:lang w:eastAsia="en-US"/>
        </w:rPr>
      </w:pPr>
      <w:r>
        <w:rPr>
          <w:rFonts w:cs="Arial"/>
          <w:color w:val="auto"/>
          <w:lang w:eastAsia="en-US"/>
        </w:rPr>
        <w:t xml:space="preserve">Some changes are included </w:t>
      </w:r>
      <w:r w:rsidRPr="00716D5C">
        <w:rPr>
          <w:rFonts w:cs="Arial"/>
          <w:color w:val="auto"/>
          <w:lang w:eastAsia="en-US"/>
        </w:rPr>
        <w:t>due to changes in CIPFA’s Treasury Management Code of Practice</w:t>
      </w:r>
      <w:r>
        <w:rPr>
          <w:rFonts w:cs="Arial"/>
          <w:color w:val="auto"/>
          <w:lang w:eastAsia="en-US"/>
        </w:rPr>
        <w:t>:</w:t>
      </w:r>
    </w:p>
    <w:p w:rsidR="00A21637" w:rsidRDefault="00A21637" w:rsidP="00716D5C">
      <w:pPr>
        <w:pStyle w:val="ListParagraph"/>
        <w:numPr>
          <w:ilvl w:val="1"/>
          <w:numId w:val="46"/>
        </w:numPr>
        <w:spacing w:after="0"/>
        <w:rPr>
          <w:rFonts w:cs="Arial"/>
          <w:color w:val="auto"/>
          <w:lang w:eastAsia="en-US"/>
        </w:rPr>
      </w:pPr>
      <w:r>
        <w:rPr>
          <w:rFonts w:cs="Arial"/>
          <w:color w:val="auto"/>
          <w:lang w:eastAsia="en-US"/>
        </w:rPr>
        <w:t>A summary of how the Council will manage the risks associated with loans to the Council’s subsidiary Companies.</w:t>
      </w:r>
    </w:p>
    <w:p w:rsidR="00716D5C" w:rsidRDefault="00716D5C" w:rsidP="00716D5C">
      <w:pPr>
        <w:pStyle w:val="ListParagraph"/>
        <w:numPr>
          <w:ilvl w:val="1"/>
          <w:numId w:val="46"/>
        </w:numPr>
        <w:spacing w:after="0"/>
        <w:rPr>
          <w:rFonts w:cs="Arial"/>
          <w:color w:val="auto"/>
          <w:lang w:eastAsia="en-US"/>
        </w:rPr>
      </w:pPr>
      <w:r w:rsidRPr="00716D5C">
        <w:rPr>
          <w:rFonts w:cs="Arial"/>
          <w:color w:val="auto"/>
          <w:lang w:eastAsia="en-US"/>
        </w:rPr>
        <w:t>The inclusion of a S</w:t>
      </w:r>
      <w:r>
        <w:rPr>
          <w:rFonts w:cs="Arial"/>
          <w:color w:val="auto"/>
          <w:lang w:eastAsia="en-US"/>
        </w:rPr>
        <w:t>tatement on I</w:t>
      </w:r>
      <w:r w:rsidRPr="00716D5C">
        <w:rPr>
          <w:rFonts w:cs="Arial"/>
          <w:color w:val="auto"/>
          <w:lang w:eastAsia="en-US"/>
        </w:rPr>
        <w:t>nvestments that are not part of the treasury management activity (see Appendix 1)</w:t>
      </w:r>
    </w:p>
    <w:p w:rsidR="00716D5C" w:rsidRDefault="00716D5C" w:rsidP="00716D5C">
      <w:pPr>
        <w:pStyle w:val="ListParagraph"/>
        <w:numPr>
          <w:ilvl w:val="1"/>
          <w:numId w:val="46"/>
        </w:numPr>
        <w:spacing w:after="0"/>
        <w:rPr>
          <w:rFonts w:cs="Arial"/>
          <w:color w:val="auto"/>
          <w:lang w:eastAsia="en-US"/>
        </w:rPr>
      </w:pPr>
      <w:r>
        <w:rPr>
          <w:rFonts w:cs="Arial"/>
          <w:color w:val="auto"/>
          <w:lang w:eastAsia="en-US"/>
        </w:rPr>
        <w:t xml:space="preserve">A statement on the Council’s position in respect of </w:t>
      </w:r>
      <w:r w:rsidRPr="00716D5C">
        <w:rPr>
          <w:rFonts w:cs="Arial"/>
          <w:color w:val="auto"/>
          <w:lang w:eastAsia="en-US"/>
        </w:rPr>
        <w:t xml:space="preserve">Markets in Financial Instruments Directive II (MiFID II) (see paragraphs </w:t>
      </w:r>
      <w:r w:rsidR="0017543A">
        <w:rPr>
          <w:rFonts w:cs="Arial"/>
          <w:color w:val="auto"/>
          <w:lang w:eastAsia="en-US"/>
        </w:rPr>
        <w:t>8</w:t>
      </w:r>
      <w:r w:rsidR="0017543A" w:rsidRPr="00716D5C">
        <w:rPr>
          <w:rFonts w:cs="Arial"/>
          <w:color w:val="auto"/>
          <w:lang w:eastAsia="en-US"/>
        </w:rPr>
        <w:t xml:space="preserve"> </w:t>
      </w:r>
      <w:r w:rsidRPr="00716D5C">
        <w:rPr>
          <w:rFonts w:cs="Arial"/>
          <w:color w:val="auto"/>
          <w:lang w:eastAsia="en-US"/>
        </w:rPr>
        <w:t xml:space="preserve">to </w:t>
      </w:r>
      <w:r w:rsidR="0017543A" w:rsidRPr="00716D5C">
        <w:rPr>
          <w:rFonts w:cs="Arial"/>
          <w:color w:val="auto"/>
          <w:lang w:eastAsia="en-US"/>
        </w:rPr>
        <w:t>1</w:t>
      </w:r>
      <w:r w:rsidR="0017543A">
        <w:rPr>
          <w:rFonts w:cs="Arial"/>
          <w:color w:val="auto"/>
          <w:lang w:eastAsia="en-US"/>
        </w:rPr>
        <w:t>1</w:t>
      </w:r>
      <w:r w:rsidR="003A1F4B">
        <w:rPr>
          <w:rFonts w:cs="Arial"/>
          <w:color w:val="auto"/>
          <w:lang w:eastAsia="en-US"/>
        </w:rPr>
        <w:t xml:space="preserve"> </w:t>
      </w:r>
      <w:r w:rsidRPr="00716D5C">
        <w:rPr>
          <w:rFonts w:cs="Arial"/>
          <w:color w:val="auto"/>
          <w:lang w:eastAsia="en-US"/>
        </w:rPr>
        <w:t>below)</w:t>
      </w:r>
    </w:p>
    <w:p w:rsidR="0017543A" w:rsidRDefault="0017543A">
      <w:pPr>
        <w:spacing w:after="0"/>
        <w:rPr>
          <w:b/>
        </w:rPr>
      </w:pPr>
      <w:r>
        <w:br w:type="page"/>
      </w:r>
    </w:p>
    <w:p w:rsidR="00D71D8D" w:rsidRPr="004A3128" w:rsidRDefault="00D71D8D" w:rsidP="004A3128">
      <w:pPr>
        <w:pStyle w:val="Heading1"/>
      </w:pPr>
      <w:r w:rsidRPr="004A3128">
        <w:lastRenderedPageBreak/>
        <w:t>Treasury Management Strategy</w:t>
      </w:r>
    </w:p>
    <w:p w:rsidR="004A3128" w:rsidRPr="004A3128" w:rsidRDefault="004A3128" w:rsidP="004A3128">
      <w:pPr>
        <w:pStyle w:val="Heading1"/>
      </w:pPr>
      <w:r w:rsidRPr="004A3128">
        <w:t>Treasury Advisor</w:t>
      </w:r>
    </w:p>
    <w:p w:rsidR="004A3128" w:rsidRPr="004A3128" w:rsidRDefault="004A3128" w:rsidP="004A3128">
      <w:pPr>
        <w:numPr>
          <w:ilvl w:val="0"/>
          <w:numId w:val="34"/>
        </w:numPr>
        <w:spacing w:after="0"/>
        <w:contextualSpacing/>
        <w:rPr>
          <w:rFonts w:cs="Arial"/>
          <w:color w:val="auto"/>
          <w:lang w:eastAsia="en-US"/>
        </w:rPr>
      </w:pPr>
      <w:r w:rsidRPr="004A3128">
        <w:rPr>
          <w:rFonts w:cs="Arial"/>
          <w:color w:val="auto"/>
          <w:lang w:eastAsia="en-US"/>
        </w:rPr>
        <w:t>Treasury advice and market information is provided by Link Asset Services</w:t>
      </w:r>
      <w:r w:rsidR="001E2D58">
        <w:rPr>
          <w:rFonts w:cs="Arial"/>
          <w:color w:val="auto"/>
          <w:lang w:eastAsia="en-US"/>
        </w:rPr>
        <w:t>, formerly known as Capita Asset Services.</w:t>
      </w:r>
      <w:r w:rsidRPr="004A3128">
        <w:rPr>
          <w:rFonts w:cs="Arial"/>
          <w:color w:val="auto"/>
          <w:lang w:eastAsia="en-US"/>
        </w:rPr>
        <w:t xml:space="preserve">  The contract for Treasury Advisors was extended for two years in September 2016 and is due for retendering in September 2018.  The information provided by Link Asset Services that is used for making investment decisions is outlined further on in this </w:t>
      </w:r>
      <w:r>
        <w:rPr>
          <w:rFonts w:cs="Arial"/>
          <w:color w:val="auto"/>
          <w:lang w:eastAsia="en-US"/>
        </w:rPr>
        <w:t xml:space="preserve">report and </w:t>
      </w:r>
      <w:r w:rsidR="00275A32">
        <w:rPr>
          <w:rFonts w:cs="Arial"/>
          <w:color w:val="auto"/>
          <w:lang w:eastAsia="en-US"/>
        </w:rPr>
        <w:t xml:space="preserve">in </w:t>
      </w:r>
      <w:r>
        <w:rPr>
          <w:rFonts w:cs="Arial"/>
          <w:color w:val="auto"/>
          <w:lang w:eastAsia="en-US"/>
        </w:rPr>
        <w:t>associated appendices</w:t>
      </w:r>
      <w:r w:rsidRPr="004A3128">
        <w:rPr>
          <w:rFonts w:cs="Arial"/>
          <w:color w:val="auto"/>
          <w:lang w:eastAsia="en-US"/>
        </w:rPr>
        <w:t>.</w:t>
      </w:r>
    </w:p>
    <w:p w:rsidR="005A5DF8" w:rsidRPr="001356F1" w:rsidRDefault="005A5DF8" w:rsidP="005A5DF8">
      <w:pPr>
        <w:pStyle w:val="Heading1"/>
      </w:pPr>
      <w:r w:rsidRPr="00AA77C5">
        <w:t>Markets in Financial Instruments Directive</w:t>
      </w:r>
      <w:r>
        <w:t xml:space="preserve"> II (MiFID II)</w:t>
      </w:r>
    </w:p>
    <w:p w:rsidR="005A5DF8" w:rsidRDefault="005A5DF8" w:rsidP="005A5DF8">
      <w:pPr>
        <w:numPr>
          <w:ilvl w:val="0"/>
          <w:numId w:val="34"/>
        </w:numPr>
        <w:spacing w:after="0"/>
        <w:contextualSpacing/>
        <w:rPr>
          <w:rFonts w:cs="Arial"/>
          <w:color w:val="auto"/>
          <w:lang w:eastAsia="en-US"/>
        </w:rPr>
      </w:pPr>
      <w:r w:rsidRPr="00986C3E">
        <w:rPr>
          <w:rFonts w:cs="Arial"/>
          <w:color w:val="auto"/>
          <w:lang w:eastAsia="en-US"/>
        </w:rPr>
        <w:t xml:space="preserve">Under an EU directive, </w:t>
      </w:r>
      <w:r>
        <w:rPr>
          <w:rFonts w:cs="Arial"/>
          <w:color w:val="auto"/>
          <w:lang w:eastAsia="en-US"/>
        </w:rPr>
        <w:t xml:space="preserve">MiFID II, </w:t>
      </w:r>
      <w:r w:rsidRPr="00986C3E">
        <w:rPr>
          <w:rFonts w:cs="Arial"/>
          <w:color w:val="auto"/>
          <w:lang w:eastAsia="en-US"/>
        </w:rPr>
        <w:t>the F</w:t>
      </w:r>
      <w:r>
        <w:rPr>
          <w:rFonts w:cs="Arial"/>
          <w:color w:val="auto"/>
          <w:lang w:eastAsia="en-US"/>
        </w:rPr>
        <w:t>inancial Conduct Authority (FCA)</w:t>
      </w:r>
      <w:r w:rsidRPr="00986C3E">
        <w:rPr>
          <w:rFonts w:cs="Arial"/>
          <w:color w:val="auto"/>
          <w:lang w:eastAsia="en-US"/>
        </w:rPr>
        <w:t xml:space="preserve"> has introduced new </w:t>
      </w:r>
      <w:r>
        <w:rPr>
          <w:rFonts w:cs="Arial"/>
          <w:color w:val="auto"/>
          <w:lang w:eastAsia="en-US"/>
        </w:rPr>
        <w:t>regulations</w:t>
      </w:r>
      <w:r w:rsidRPr="00986C3E">
        <w:rPr>
          <w:rFonts w:cs="Arial"/>
          <w:color w:val="auto"/>
          <w:lang w:eastAsia="en-US"/>
        </w:rPr>
        <w:t xml:space="preserve"> effective from January 2018, requiring all clients</w:t>
      </w:r>
      <w:r>
        <w:rPr>
          <w:rFonts w:cs="Arial"/>
          <w:color w:val="auto"/>
          <w:lang w:eastAsia="en-US"/>
        </w:rPr>
        <w:t>,</w:t>
      </w:r>
      <w:r w:rsidRPr="00986C3E">
        <w:rPr>
          <w:rFonts w:cs="Arial"/>
          <w:color w:val="auto"/>
          <w:lang w:eastAsia="en-US"/>
        </w:rPr>
        <w:t xml:space="preserve"> </w:t>
      </w:r>
      <w:r>
        <w:rPr>
          <w:rFonts w:cs="Arial"/>
          <w:color w:val="auto"/>
          <w:lang w:eastAsia="en-US"/>
        </w:rPr>
        <w:t xml:space="preserve">such as the City Council, </w:t>
      </w:r>
      <w:r w:rsidRPr="00986C3E">
        <w:rPr>
          <w:rFonts w:cs="Arial"/>
          <w:color w:val="auto"/>
          <w:lang w:eastAsia="en-US"/>
        </w:rPr>
        <w:t xml:space="preserve">currently classified as professional under </w:t>
      </w:r>
      <w:r>
        <w:rPr>
          <w:rFonts w:cs="Arial"/>
          <w:color w:val="auto"/>
          <w:lang w:eastAsia="en-US"/>
        </w:rPr>
        <w:t xml:space="preserve">the </w:t>
      </w:r>
      <w:r w:rsidRPr="00D70096">
        <w:rPr>
          <w:rFonts w:cs="Arial"/>
          <w:color w:val="auto"/>
          <w:lang w:eastAsia="en-US"/>
        </w:rPr>
        <w:t>Markets in Financial Instruments Directive</w:t>
      </w:r>
      <w:r w:rsidRPr="00986C3E">
        <w:rPr>
          <w:rFonts w:cs="Arial"/>
          <w:color w:val="auto"/>
          <w:lang w:eastAsia="en-US"/>
        </w:rPr>
        <w:t xml:space="preserve"> to opt up to professional status</w:t>
      </w:r>
      <w:r>
        <w:rPr>
          <w:rFonts w:cs="Arial"/>
          <w:color w:val="auto"/>
          <w:lang w:eastAsia="en-US"/>
        </w:rPr>
        <w:t xml:space="preserve"> under MiFID II which has more stringent measures for classifying organisations.  Not opting up to professional status would mean that the organisation would </w:t>
      </w:r>
      <w:r w:rsidRPr="00986C3E">
        <w:rPr>
          <w:rFonts w:cs="Arial"/>
          <w:color w:val="auto"/>
          <w:lang w:eastAsia="en-US"/>
        </w:rPr>
        <w:t>revert to retail status</w:t>
      </w:r>
      <w:r>
        <w:rPr>
          <w:rFonts w:cs="Arial"/>
          <w:color w:val="auto"/>
          <w:lang w:eastAsia="en-US"/>
        </w:rPr>
        <w:t>, restricting the types of investment vehicles available</w:t>
      </w:r>
      <w:r w:rsidRPr="00986C3E">
        <w:rPr>
          <w:rFonts w:cs="Arial"/>
          <w:color w:val="auto"/>
          <w:lang w:eastAsia="en-US"/>
        </w:rPr>
        <w:t>.</w:t>
      </w:r>
    </w:p>
    <w:p w:rsidR="005A5DF8" w:rsidRDefault="005A5DF8" w:rsidP="005A5DF8">
      <w:pPr>
        <w:spacing w:after="0"/>
        <w:ind w:left="360"/>
        <w:contextualSpacing/>
        <w:rPr>
          <w:rFonts w:cs="Arial"/>
          <w:color w:val="auto"/>
          <w:lang w:eastAsia="en-US"/>
        </w:rPr>
      </w:pPr>
    </w:p>
    <w:p w:rsidR="005A5DF8" w:rsidRDefault="005A5DF8" w:rsidP="005A5DF8">
      <w:pPr>
        <w:numPr>
          <w:ilvl w:val="0"/>
          <w:numId w:val="34"/>
        </w:numPr>
        <w:spacing w:after="0"/>
        <w:contextualSpacing/>
        <w:rPr>
          <w:rFonts w:cs="Arial"/>
          <w:color w:val="auto"/>
          <w:lang w:eastAsia="en-US"/>
        </w:rPr>
      </w:pPr>
      <w:r w:rsidRPr="00986C3E">
        <w:rPr>
          <w:rFonts w:cs="Arial"/>
          <w:color w:val="auto"/>
          <w:lang w:eastAsia="en-US"/>
        </w:rPr>
        <w:t xml:space="preserve">Each financial institution has its own methods for determining whether a client is eligible to opt up but regardless of how the </w:t>
      </w:r>
      <w:r>
        <w:rPr>
          <w:rFonts w:cs="Arial"/>
          <w:color w:val="auto"/>
          <w:lang w:eastAsia="en-US"/>
        </w:rPr>
        <w:t xml:space="preserve">financial institution </w:t>
      </w:r>
      <w:r w:rsidRPr="00986C3E">
        <w:rPr>
          <w:rFonts w:cs="Arial"/>
          <w:color w:val="auto"/>
          <w:lang w:eastAsia="en-US"/>
        </w:rPr>
        <w:t>assess</w:t>
      </w:r>
      <w:r>
        <w:rPr>
          <w:rFonts w:cs="Arial"/>
          <w:color w:val="auto"/>
          <w:lang w:eastAsia="en-US"/>
        </w:rPr>
        <w:t>es applications, clients</w:t>
      </w:r>
      <w:r w:rsidRPr="00986C3E">
        <w:rPr>
          <w:rFonts w:cs="Arial"/>
          <w:color w:val="auto"/>
          <w:lang w:eastAsia="en-US"/>
        </w:rPr>
        <w:t xml:space="preserve"> must fulfil both qualitative and quantitative criteria which stipulate that professional clients will only be classified as such if </w:t>
      </w:r>
      <w:r>
        <w:rPr>
          <w:rFonts w:cs="Arial"/>
          <w:color w:val="auto"/>
          <w:lang w:eastAsia="en-US"/>
        </w:rPr>
        <w:t xml:space="preserve">they have an investment portfolio of over £10 million and </w:t>
      </w:r>
      <w:r w:rsidRPr="00986C3E">
        <w:rPr>
          <w:rFonts w:cs="Arial"/>
          <w:color w:val="auto"/>
          <w:lang w:eastAsia="en-US"/>
        </w:rPr>
        <w:t xml:space="preserve">they </w:t>
      </w:r>
      <w:r>
        <w:rPr>
          <w:rFonts w:cs="Arial"/>
          <w:color w:val="auto"/>
          <w:lang w:eastAsia="en-US"/>
        </w:rPr>
        <w:t xml:space="preserve">have </w:t>
      </w:r>
      <w:r w:rsidRPr="00986C3E">
        <w:rPr>
          <w:rFonts w:cs="Arial"/>
          <w:color w:val="auto"/>
          <w:lang w:eastAsia="en-US"/>
        </w:rPr>
        <w:t>complete</w:t>
      </w:r>
      <w:r>
        <w:rPr>
          <w:rFonts w:cs="Arial"/>
          <w:color w:val="auto"/>
          <w:lang w:eastAsia="en-US"/>
        </w:rPr>
        <w:t>d</w:t>
      </w:r>
      <w:r w:rsidRPr="00986C3E">
        <w:rPr>
          <w:rFonts w:cs="Arial"/>
          <w:color w:val="auto"/>
          <w:lang w:eastAsia="en-US"/>
        </w:rPr>
        <w:t xml:space="preserve"> a minimum of 10 transactions per quarter over the last 4 quarters</w:t>
      </w:r>
      <w:r>
        <w:rPr>
          <w:rFonts w:cs="Arial"/>
          <w:color w:val="auto"/>
          <w:lang w:eastAsia="en-US"/>
        </w:rPr>
        <w:t>.  Additionally</w:t>
      </w:r>
      <w:r w:rsidRPr="00986C3E">
        <w:rPr>
          <w:rFonts w:cs="Arial"/>
          <w:color w:val="auto"/>
          <w:lang w:eastAsia="en-US"/>
        </w:rPr>
        <w:t xml:space="preserve"> officers completing such transactions </w:t>
      </w:r>
      <w:r>
        <w:rPr>
          <w:rFonts w:cs="Arial"/>
          <w:color w:val="auto"/>
          <w:lang w:eastAsia="en-US"/>
        </w:rPr>
        <w:t>must be</w:t>
      </w:r>
      <w:r w:rsidRPr="00986C3E">
        <w:rPr>
          <w:rFonts w:cs="Arial"/>
          <w:color w:val="auto"/>
          <w:lang w:eastAsia="en-US"/>
        </w:rPr>
        <w:t xml:space="preserve"> suitably qualified and experienced.</w:t>
      </w:r>
    </w:p>
    <w:p w:rsidR="005A5DF8" w:rsidRDefault="005A5DF8" w:rsidP="005A5DF8">
      <w:pPr>
        <w:pStyle w:val="ListParagraph"/>
        <w:numPr>
          <w:ilvl w:val="0"/>
          <w:numId w:val="0"/>
        </w:numPr>
        <w:spacing w:after="0"/>
        <w:ind w:left="426"/>
        <w:rPr>
          <w:rFonts w:cs="Arial"/>
          <w:color w:val="auto"/>
          <w:lang w:eastAsia="en-US"/>
        </w:rPr>
      </w:pPr>
    </w:p>
    <w:p w:rsidR="005A5DF8" w:rsidRDefault="005A5DF8" w:rsidP="005A5DF8">
      <w:pPr>
        <w:numPr>
          <w:ilvl w:val="0"/>
          <w:numId w:val="34"/>
        </w:numPr>
        <w:spacing w:after="0"/>
        <w:contextualSpacing/>
        <w:rPr>
          <w:rFonts w:cs="Arial"/>
          <w:color w:val="auto"/>
          <w:lang w:eastAsia="en-US"/>
        </w:rPr>
      </w:pPr>
      <w:r>
        <w:rPr>
          <w:rFonts w:cs="Arial"/>
          <w:color w:val="auto"/>
          <w:lang w:eastAsia="en-US"/>
        </w:rPr>
        <w:t>Since n</w:t>
      </w:r>
      <w:r w:rsidRPr="00986C3E">
        <w:rPr>
          <w:rFonts w:cs="Arial"/>
          <w:color w:val="auto"/>
          <w:lang w:eastAsia="en-US"/>
        </w:rPr>
        <w:t>ot opt</w:t>
      </w:r>
      <w:r>
        <w:rPr>
          <w:rFonts w:cs="Arial"/>
          <w:color w:val="auto"/>
          <w:lang w:eastAsia="en-US"/>
        </w:rPr>
        <w:t>ing</w:t>
      </w:r>
      <w:r w:rsidRPr="00986C3E">
        <w:rPr>
          <w:rFonts w:cs="Arial"/>
          <w:color w:val="auto"/>
          <w:lang w:eastAsia="en-US"/>
        </w:rPr>
        <w:t xml:space="preserve"> up to Professional status w</w:t>
      </w:r>
      <w:r>
        <w:rPr>
          <w:rFonts w:cs="Arial"/>
          <w:color w:val="auto"/>
          <w:lang w:eastAsia="en-US"/>
        </w:rPr>
        <w:t xml:space="preserve">ould </w:t>
      </w:r>
      <w:r w:rsidRPr="00986C3E">
        <w:rPr>
          <w:rFonts w:cs="Arial"/>
          <w:color w:val="auto"/>
          <w:lang w:eastAsia="en-US"/>
        </w:rPr>
        <w:t xml:space="preserve">restrict the types </w:t>
      </w:r>
      <w:r>
        <w:rPr>
          <w:rFonts w:cs="Arial"/>
          <w:color w:val="auto"/>
          <w:lang w:eastAsia="en-US"/>
        </w:rPr>
        <w:t>o</w:t>
      </w:r>
      <w:r w:rsidRPr="00986C3E">
        <w:rPr>
          <w:rFonts w:cs="Arial"/>
          <w:color w:val="auto"/>
          <w:lang w:eastAsia="en-US"/>
        </w:rPr>
        <w:t>f investment into which the Council may enter, the Council has applied to all relevant institutions and been granted professional status with all organisations</w:t>
      </w:r>
      <w:r>
        <w:rPr>
          <w:rFonts w:cs="Arial"/>
          <w:color w:val="auto"/>
          <w:lang w:eastAsia="en-US"/>
        </w:rPr>
        <w:t xml:space="preserve"> applied to</w:t>
      </w:r>
      <w:r w:rsidRPr="00986C3E">
        <w:rPr>
          <w:rFonts w:cs="Arial"/>
          <w:color w:val="auto"/>
          <w:lang w:eastAsia="en-US"/>
        </w:rPr>
        <w:t>.</w:t>
      </w:r>
    </w:p>
    <w:p w:rsidR="005A5DF8" w:rsidRDefault="005A5DF8" w:rsidP="005A5DF8">
      <w:pPr>
        <w:pStyle w:val="ListParagraph"/>
        <w:numPr>
          <w:ilvl w:val="0"/>
          <w:numId w:val="0"/>
        </w:numPr>
        <w:spacing w:after="0"/>
        <w:ind w:left="426"/>
        <w:rPr>
          <w:rFonts w:cs="Arial"/>
          <w:color w:val="auto"/>
          <w:lang w:eastAsia="en-US"/>
        </w:rPr>
      </w:pPr>
    </w:p>
    <w:p w:rsidR="005A5DF8" w:rsidRPr="00A23FEE" w:rsidRDefault="005A5DF8" w:rsidP="005A5DF8">
      <w:pPr>
        <w:numPr>
          <w:ilvl w:val="0"/>
          <w:numId w:val="34"/>
        </w:numPr>
        <w:spacing w:after="0"/>
        <w:contextualSpacing/>
        <w:rPr>
          <w:rFonts w:cs="Arial"/>
          <w:color w:val="auto"/>
          <w:lang w:eastAsia="en-US"/>
        </w:rPr>
      </w:pPr>
      <w:r w:rsidRPr="00986C3E">
        <w:rPr>
          <w:rFonts w:cs="Arial"/>
          <w:color w:val="auto"/>
          <w:lang w:eastAsia="en-US"/>
        </w:rPr>
        <w:t>It is important to note that professional status under the new legislation requires the Council to assume more direct responsibility for its investment decisions but these are essentially encompassed in the due diligence the Council already applies to all investments.</w:t>
      </w:r>
    </w:p>
    <w:p w:rsidR="00D71D8D" w:rsidRPr="004A3128" w:rsidRDefault="00D71D8D" w:rsidP="004A3128">
      <w:pPr>
        <w:pStyle w:val="Heading1"/>
      </w:pPr>
      <w:r w:rsidRPr="004A3128">
        <w:t>Borrowing and Debt Strategy 201</w:t>
      </w:r>
      <w:r w:rsidR="0026510E" w:rsidRPr="004A3128">
        <w:t>8/19</w:t>
      </w:r>
    </w:p>
    <w:p w:rsidR="00D71D8D" w:rsidRPr="00D71D8D" w:rsidRDefault="00D71D8D" w:rsidP="00D71D8D">
      <w:pPr>
        <w:numPr>
          <w:ilvl w:val="0"/>
          <w:numId w:val="34"/>
        </w:numPr>
        <w:spacing w:after="0"/>
        <w:contextualSpacing/>
        <w:rPr>
          <w:rFonts w:cs="Arial"/>
          <w:color w:val="auto"/>
          <w:lang w:eastAsia="en-US"/>
        </w:rPr>
      </w:pPr>
      <w:r w:rsidRPr="00D71D8D">
        <w:rPr>
          <w:rFonts w:cs="Arial"/>
          <w:color w:val="auto"/>
          <w:lang w:eastAsia="en-US"/>
        </w:rPr>
        <w:t>Under the Prudential Code, individual authorities are responsible for deciding their level of borrowing.  The system is designed to allow authorities with an affordable borrowing requirement, to borrow in order to pay for capital investment.</w:t>
      </w:r>
    </w:p>
    <w:p w:rsidR="00D71D8D" w:rsidRPr="00D71D8D" w:rsidRDefault="00D71D8D" w:rsidP="00D71D8D">
      <w:pPr>
        <w:spacing w:after="0"/>
        <w:ind w:left="720"/>
        <w:contextualSpacing/>
        <w:rPr>
          <w:rFonts w:cs="Arial"/>
          <w:color w:val="auto"/>
          <w:lang w:eastAsia="en-US"/>
        </w:rPr>
      </w:pPr>
    </w:p>
    <w:p w:rsidR="00D71D8D" w:rsidRPr="00D71D8D" w:rsidRDefault="00D71D8D" w:rsidP="00D71D8D">
      <w:pPr>
        <w:numPr>
          <w:ilvl w:val="0"/>
          <w:numId w:val="34"/>
        </w:numPr>
        <w:spacing w:after="0"/>
        <w:contextualSpacing/>
        <w:rPr>
          <w:rFonts w:cs="Arial"/>
          <w:color w:val="auto"/>
          <w:lang w:eastAsia="en-US"/>
        </w:rPr>
      </w:pPr>
      <w:r w:rsidRPr="00D71D8D">
        <w:rPr>
          <w:rFonts w:cs="Arial"/>
          <w:color w:val="auto"/>
          <w:lang w:eastAsia="en-US"/>
        </w:rPr>
        <w:t>The arrangements also facilitate ‘invest to save’ schemes where they are affordable, prudent and sustainable.</w:t>
      </w:r>
    </w:p>
    <w:p w:rsidR="00D71D8D" w:rsidRPr="00D71D8D" w:rsidRDefault="00D71D8D" w:rsidP="00D71D8D">
      <w:pPr>
        <w:spacing w:after="0"/>
        <w:ind w:left="720"/>
        <w:contextualSpacing/>
        <w:rPr>
          <w:rFonts w:cs="Arial"/>
          <w:color w:val="auto"/>
          <w:lang w:eastAsia="en-US"/>
        </w:rPr>
      </w:pPr>
    </w:p>
    <w:p w:rsidR="00D71D8D" w:rsidRPr="00D71D8D" w:rsidRDefault="00D71D8D" w:rsidP="00D71D8D">
      <w:pPr>
        <w:numPr>
          <w:ilvl w:val="0"/>
          <w:numId w:val="34"/>
        </w:numPr>
        <w:spacing w:after="0"/>
        <w:contextualSpacing/>
        <w:rPr>
          <w:rFonts w:cs="Arial"/>
          <w:color w:val="auto"/>
          <w:lang w:eastAsia="en-US"/>
        </w:rPr>
      </w:pPr>
      <w:r w:rsidRPr="00D71D8D">
        <w:rPr>
          <w:rFonts w:cs="Arial"/>
          <w:color w:val="auto"/>
          <w:lang w:eastAsia="en-US"/>
        </w:rPr>
        <w:t>The parameters for determining the level of prudential borrowing are:</w:t>
      </w:r>
    </w:p>
    <w:p w:rsidR="00D71D8D" w:rsidRPr="00D71D8D" w:rsidRDefault="00D71D8D" w:rsidP="00D71D8D">
      <w:pPr>
        <w:numPr>
          <w:ilvl w:val="0"/>
          <w:numId w:val="35"/>
        </w:numPr>
        <w:spacing w:after="0"/>
        <w:contextualSpacing/>
        <w:rPr>
          <w:rFonts w:cs="Arial"/>
          <w:color w:val="auto"/>
          <w:lang w:eastAsia="en-US"/>
        </w:rPr>
      </w:pPr>
      <w:r w:rsidRPr="00D71D8D">
        <w:rPr>
          <w:rFonts w:cs="Arial"/>
          <w:color w:val="auto"/>
          <w:lang w:eastAsia="en-US"/>
        </w:rPr>
        <w:t>A balanced revenue budget that includes the revenue consequences of any capital financing i.e. interest, debt repayment and  running costs of any new project;</w:t>
      </w:r>
      <w:r w:rsidR="001250F2">
        <w:rPr>
          <w:rFonts w:cs="Arial"/>
          <w:color w:val="auto"/>
          <w:lang w:eastAsia="en-US"/>
        </w:rPr>
        <w:t xml:space="preserve"> and </w:t>
      </w:r>
    </w:p>
    <w:p w:rsidR="00D71D8D" w:rsidRPr="00D71D8D" w:rsidRDefault="00D71D8D" w:rsidP="00D71D8D">
      <w:pPr>
        <w:numPr>
          <w:ilvl w:val="0"/>
          <w:numId w:val="35"/>
        </w:numPr>
        <w:spacing w:after="0"/>
        <w:contextualSpacing/>
        <w:rPr>
          <w:rFonts w:cs="Arial"/>
          <w:color w:val="auto"/>
          <w:lang w:eastAsia="en-US"/>
        </w:rPr>
      </w:pPr>
      <w:r w:rsidRPr="00D71D8D">
        <w:rPr>
          <w:rFonts w:cs="Arial"/>
          <w:color w:val="auto"/>
          <w:lang w:eastAsia="en-US"/>
        </w:rPr>
        <w:t>That the impact of the Authorised Borrowing Limit on Council Tax or council rents is reasonable.</w:t>
      </w:r>
    </w:p>
    <w:p w:rsidR="00D71D8D" w:rsidRPr="00D71D8D" w:rsidRDefault="00D71D8D" w:rsidP="00D71D8D">
      <w:pPr>
        <w:spacing w:after="0"/>
        <w:rPr>
          <w:rFonts w:cs="Arial"/>
          <w:color w:val="auto"/>
          <w:lang w:eastAsia="en-US"/>
        </w:rPr>
      </w:pPr>
    </w:p>
    <w:p w:rsidR="00D71D8D" w:rsidRPr="00AA77C5" w:rsidRDefault="00D71D8D" w:rsidP="00D71D8D">
      <w:pPr>
        <w:numPr>
          <w:ilvl w:val="0"/>
          <w:numId w:val="34"/>
        </w:numPr>
        <w:spacing w:after="0"/>
        <w:contextualSpacing/>
        <w:rPr>
          <w:rFonts w:cs="Arial"/>
          <w:color w:val="auto"/>
          <w:lang w:eastAsia="en-US"/>
        </w:rPr>
      </w:pPr>
      <w:r w:rsidRPr="00AA77C5">
        <w:rPr>
          <w:rFonts w:cs="Arial"/>
          <w:color w:val="auto"/>
          <w:lang w:eastAsia="en-US"/>
        </w:rPr>
        <w:lastRenderedPageBreak/>
        <w:t>The draft Capital Programme</w:t>
      </w:r>
      <w:r w:rsidR="0051623E">
        <w:rPr>
          <w:rFonts w:cs="Arial"/>
          <w:color w:val="auto"/>
          <w:lang w:eastAsia="en-US"/>
        </w:rPr>
        <w:t xml:space="preserve"> for 2018/19 to 2021/22</w:t>
      </w:r>
      <w:r w:rsidRPr="00AA77C5">
        <w:rPr>
          <w:rFonts w:cs="Arial"/>
          <w:color w:val="auto"/>
          <w:lang w:eastAsia="en-US"/>
        </w:rPr>
        <w:t>, which appears elsewhere on the Agenda; includes the following expenditure which is currently planned to be financed by borrowing:</w:t>
      </w:r>
    </w:p>
    <w:p w:rsidR="00D71D8D" w:rsidRPr="00AA77C5" w:rsidRDefault="00D71D8D" w:rsidP="00D71D8D">
      <w:pPr>
        <w:numPr>
          <w:ilvl w:val="0"/>
          <w:numId w:val="40"/>
        </w:numPr>
        <w:spacing w:after="0"/>
        <w:ind w:left="1134"/>
        <w:contextualSpacing/>
        <w:rPr>
          <w:rFonts w:cs="Arial"/>
          <w:color w:val="auto"/>
          <w:lang w:eastAsia="en-US"/>
        </w:rPr>
      </w:pPr>
      <w:r w:rsidRPr="00AA77C5">
        <w:rPr>
          <w:rFonts w:cs="Arial"/>
          <w:color w:val="auto"/>
          <w:lang w:eastAsia="en-US"/>
        </w:rPr>
        <w:t>£</w:t>
      </w:r>
      <w:r w:rsidR="008F1F9D">
        <w:rPr>
          <w:rFonts w:cs="Arial"/>
          <w:color w:val="auto"/>
          <w:lang w:eastAsia="en-US"/>
        </w:rPr>
        <w:t>6</w:t>
      </w:r>
      <w:r w:rsidR="0051623E">
        <w:rPr>
          <w:rFonts w:cs="Arial"/>
          <w:color w:val="auto"/>
          <w:lang w:eastAsia="en-US"/>
        </w:rPr>
        <w:t>8</w:t>
      </w:r>
      <w:r w:rsidR="00AA77C5" w:rsidRPr="00AA77C5">
        <w:rPr>
          <w:rFonts w:cs="Arial"/>
          <w:color w:val="auto"/>
          <w:lang w:eastAsia="en-US"/>
        </w:rPr>
        <w:t>.</w:t>
      </w:r>
      <w:r w:rsidR="0051623E">
        <w:rPr>
          <w:rFonts w:cs="Arial"/>
          <w:color w:val="auto"/>
          <w:lang w:eastAsia="en-US"/>
        </w:rPr>
        <w:t>7</w:t>
      </w:r>
      <w:r w:rsidR="0051623E" w:rsidRPr="00AA77C5">
        <w:rPr>
          <w:rFonts w:cs="Arial"/>
          <w:color w:val="auto"/>
          <w:lang w:eastAsia="en-US"/>
        </w:rPr>
        <w:t xml:space="preserve"> </w:t>
      </w:r>
      <w:r w:rsidRPr="00AA77C5">
        <w:rPr>
          <w:rFonts w:cs="Arial"/>
          <w:color w:val="auto"/>
          <w:lang w:eastAsia="en-US"/>
        </w:rPr>
        <w:t>million loan</w:t>
      </w:r>
      <w:r w:rsidR="00AA77C5" w:rsidRPr="00AA77C5">
        <w:rPr>
          <w:rFonts w:cs="Arial"/>
          <w:color w:val="auto"/>
          <w:lang w:eastAsia="en-US"/>
        </w:rPr>
        <w:t>s</w:t>
      </w:r>
      <w:r w:rsidRPr="00AA77C5">
        <w:rPr>
          <w:rFonts w:cs="Arial"/>
          <w:color w:val="auto"/>
          <w:lang w:eastAsia="en-US"/>
        </w:rPr>
        <w:t xml:space="preserve"> to the Housing Company, primarily to finance the purchase of </w:t>
      </w:r>
      <w:r w:rsidR="00413FD8" w:rsidRPr="00AA77C5">
        <w:rPr>
          <w:rFonts w:cs="Arial"/>
          <w:color w:val="auto"/>
          <w:lang w:eastAsia="en-US"/>
        </w:rPr>
        <w:t xml:space="preserve">New Build </w:t>
      </w:r>
      <w:r w:rsidRPr="00AA77C5">
        <w:rPr>
          <w:rFonts w:cs="Arial"/>
          <w:color w:val="auto"/>
          <w:lang w:eastAsia="en-US"/>
        </w:rPr>
        <w:t xml:space="preserve">homes </w:t>
      </w:r>
      <w:r w:rsidR="00413FD8" w:rsidRPr="00AA77C5">
        <w:rPr>
          <w:rFonts w:cs="Arial"/>
          <w:color w:val="auto"/>
          <w:lang w:eastAsia="en-US"/>
        </w:rPr>
        <w:t xml:space="preserve">for Affordable Housing at </w:t>
      </w:r>
      <w:r w:rsidRPr="00AA77C5">
        <w:rPr>
          <w:rFonts w:cs="Arial"/>
          <w:color w:val="auto"/>
          <w:lang w:eastAsia="en-US"/>
        </w:rPr>
        <w:t xml:space="preserve">Barton and </w:t>
      </w:r>
      <w:r w:rsidR="00413FD8" w:rsidRPr="00AA77C5">
        <w:rPr>
          <w:rFonts w:cs="Arial"/>
          <w:color w:val="auto"/>
          <w:lang w:eastAsia="en-US"/>
        </w:rPr>
        <w:t xml:space="preserve">other </w:t>
      </w:r>
      <w:r w:rsidRPr="00AA77C5">
        <w:rPr>
          <w:rFonts w:cs="Arial"/>
          <w:color w:val="auto"/>
          <w:lang w:eastAsia="en-US"/>
        </w:rPr>
        <w:t>housing</w:t>
      </w:r>
      <w:r w:rsidR="00DA4559">
        <w:rPr>
          <w:rFonts w:cs="Arial"/>
          <w:color w:val="auto"/>
          <w:lang w:eastAsia="en-US"/>
        </w:rPr>
        <w:t xml:space="preserve"> of which £</w:t>
      </w:r>
      <w:r w:rsidR="0051623E">
        <w:rPr>
          <w:rFonts w:cs="Arial"/>
          <w:color w:val="auto"/>
          <w:lang w:eastAsia="en-US"/>
        </w:rPr>
        <w:t xml:space="preserve">57 </w:t>
      </w:r>
      <w:r w:rsidR="00DA4559">
        <w:rPr>
          <w:rFonts w:cs="Arial"/>
          <w:color w:val="auto"/>
          <w:lang w:eastAsia="en-US"/>
        </w:rPr>
        <w:t>million</w:t>
      </w:r>
      <w:r w:rsidR="003E4817">
        <w:rPr>
          <w:rFonts w:cs="Arial"/>
          <w:color w:val="auto"/>
          <w:lang w:eastAsia="en-US"/>
        </w:rPr>
        <w:t xml:space="preserve"> is available for drawdown</w:t>
      </w:r>
      <w:r w:rsidRPr="00AA77C5">
        <w:rPr>
          <w:rFonts w:cs="Arial"/>
          <w:color w:val="auto"/>
          <w:lang w:eastAsia="en-US"/>
        </w:rPr>
        <w:t>;</w:t>
      </w:r>
    </w:p>
    <w:p w:rsidR="00D71D8D" w:rsidRPr="00AA77C5" w:rsidRDefault="00D71D8D" w:rsidP="00D71D8D">
      <w:pPr>
        <w:numPr>
          <w:ilvl w:val="0"/>
          <w:numId w:val="40"/>
        </w:numPr>
        <w:spacing w:after="0"/>
        <w:ind w:left="1134"/>
        <w:contextualSpacing/>
        <w:rPr>
          <w:rFonts w:cs="Arial"/>
          <w:color w:val="auto"/>
          <w:lang w:eastAsia="en-US"/>
        </w:rPr>
      </w:pPr>
      <w:r w:rsidRPr="00AA77C5">
        <w:rPr>
          <w:rFonts w:cs="Arial"/>
          <w:color w:val="auto"/>
          <w:lang w:eastAsia="en-US"/>
        </w:rPr>
        <w:t>£</w:t>
      </w:r>
      <w:r w:rsidR="00AA77C5" w:rsidRPr="00AA77C5">
        <w:rPr>
          <w:rFonts w:cs="Arial"/>
          <w:color w:val="auto"/>
          <w:lang w:eastAsia="en-US"/>
        </w:rPr>
        <w:t>13.2</w:t>
      </w:r>
      <w:r w:rsidRPr="00AA77C5">
        <w:rPr>
          <w:rFonts w:cs="Arial"/>
          <w:color w:val="auto"/>
          <w:lang w:eastAsia="en-US"/>
        </w:rPr>
        <w:t xml:space="preserve"> million for the acquisition </w:t>
      </w:r>
      <w:r w:rsidR="00AA77C5" w:rsidRPr="00AA77C5">
        <w:rPr>
          <w:rFonts w:cs="Arial"/>
          <w:color w:val="auto"/>
          <w:lang w:eastAsia="en-US"/>
        </w:rPr>
        <w:t xml:space="preserve">or refurbishment </w:t>
      </w:r>
      <w:r w:rsidRPr="00AA77C5">
        <w:rPr>
          <w:rFonts w:cs="Arial"/>
          <w:color w:val="auto"/>
          <w:lang w:eastAsia="en-US"/>
        </w:rPr>
        <w:t>of Investment Properties</w:t>
      </w:r>
      <w:r w:rsidRPr="00AA77C5">
        <w:rPr>
          <w:color w:val="auto"/>
          <w:lang w:eastAsia="en-US"/>
        </w:rPr>
        <w:t xml:space="preserve"> </w:t>
      </w:r>
      <w:r w:rsidRPr="00AA77C5">
        <w:rPr>
          <w:rFonts w:cs="Arial"/>
          <w:color w:val="auto"/>
          <w:lang w:eastAsia="en-US"/>
        </w:rPr>
        <w:t>that will generate additional  revenue income; and</w:t>
      </w:r>
    </w:p>
    <w:p w:rsidR="00D71D8D" w:rsidRPr="00AA77C5" w:rsidRDefault="00D71D8D" w:rsidP="00D71D8D">
      <w:pPr>
        <w:numPr>
          <w:ilvl w:val="0"/>
          <w:numId w:val="40"/>
        </w:numPr>
        <w:spacing w:after="0"/>
        <w:ind w:left="1134"/>
        <w:contextualSpacing/>
        <w:rPr>
          <w:rFonts w:cs="Arial"/>
          <w:color w:val="auto"/>
          <w:lang w:eastAsia="en-US"/>
        </w:rPr>
      </w:pPr>
      <w:r w:rsidRPr="00AA77C5">
        <w:rPr>
          <w:rFonts w:cs="Arial"/>
          <w:color w:val="auto"/>
          <w:lang w:eastAsia="en-US"/>
        </w:rPr>
        <w:t>£</w:t>
      </w:r>
      <w:r w:rsidR="00AA77C5" w:rsidRPr="00AA77C5">
        <w:rPr>
          <w:rFonts w:cs="Arial"/>
          <w:color w:val="auto"/>
          <w:lang w:eastAsia="en-US"/>
        </w:rPr>
        <w:t>23.</w:t>
      </w:r>
      <w:r w:rsidR="0051623E">
        <w:rPr>
          <w:rFonts w:cs="Arial"/>
          <w:color w:val="auto"/>
          <w:lang w:eastAsia="en-US"/>
        </w:rPr>
        <w:t>0</w:t>
      </w:r>
      <w:r w:rsidRPr="00AA77C5">
        <w:rPr>
          <w:rFonts w:cs="Arial"/>
          <w:color w:val="auto"/>
          <w:lang w:eastAsia="en-US"/>
        </w:rPr>
        <w:t xml:space="preserve"> million </w:t>
      </w:r>
      <w:r w:rsidR="00AA77C5" w:rsidRPr="00AA77C5">
        <w:rPr>
          <w:rFonts w:cs="Arial"/>
          <w:color w:val="auto"/>
          <w:lang w:eastAsia="en-US"/>
        </w:rPr>
        <w:t>to finance HRA capital expenditure.</w:t>
      </w:r>
    </w:p>
    <w:p w:rsidR="00D71D8D" w:rsidRPr="00D71D8D" w:rsidRDefault="00D71D8D" w:rsidP="00D71D8D">
      <w:pPr>
        <w:spacing w:after="0"/>
        <w:ind w:left="1134"/>
        <w:contextualSpacing/>
        <w:rPr>
          <w:rFonts w:cs="Arial"/>
          <w:color w:val="auto"/>
          <w:lang w:eastAsia="en-US"/>
        </w:rPr>
      </w:pPr>
    </w:p>
    <w:p w:rsidR="00D71D8D" w:rsidRPr="00D71D8D" w:rsidRDefault="00D71D8D" w:rsidP="005A5DF8">
      <w:pPr>
        <w:numPr>
          <w:ilvl w:val="0"/>
          <w:numId w:val="34"/>
        </w:numPr>
        <w:spacing w:after="0"/>
        <w:contextualSpacing/>
        <w:rPr>
          <w:rFonts w:cs="Arial"/>
          <w:color w:val="auto"/>
          <w:lang w:eastAsia="en-US"/>
        </w:rPr>
      </w:pPr>
      <w:r w:rsidRPr="00D71D8D">
        <w:rPr>
          <w:rFonts w:cs="Arial"/>
          <w:color w:val="auto"/>
          <w:lang w:eastAsia="en-US"/>
        </w:rPr>
        <w:t xml:space="preserve">The S151 officer has delegated authority to determine the need for external borrowing taking into account prevailing interest rates and associated risks.  </w:t>
      </w:r>
      <w:r w:rsidR="005A5DF8" w:rsidRPr="005A5DF8">
        <w:rPr>
          <w:rFonts w:cs="Arial"/>
          <w:color w:val="auto"/>
          <w:lang w:eastAsia="en-US"/>
        </w:rPr>
        <w:t>Borrowing may be undertaken to fund the approved Capital Programme or to fund future debt maturities</w:t>
      </w:r>
      <w:r w:rsidR="005A5DF8">
        <w:rPr>
          <w:rFonts w:cs="Arial"/>
          <w:color w:val="auto"/>
          <w:lang w:eastAsia="en-US"/>
        </w:rPr>
        <w:t xml:space="preserve"> and a</w:t>
      </w:r>
      <w:r w:rsidRPr="00D71D8D">
        <w:rPr>
          <w:rFonts w:cs="Arial"/>
          <w:color w:val="auto"/>
          <w:lang w:eastAsia="en-US"/>
        </w:rPr>
        <w:t xml:space="preserve"> combination of long-term and short-term fixed and variable rate borrowing may be considered</w:t>
      </w:r>
      <w:r w:rsidR="005A5DF8">
        <w:rPr>
          <w:rFonts w:cs="Arial"/>
          <w:color w:val="auto"/>
          <w:lang w:eastAsia="en-US"/>
        </w:rPr>
        <w:t xml:space="preserve"> which</w:t>
      </w:r>
      <w:r w:rsidRPr="00D71D8D">
        <w:rPr>
          <w:rFonts w:cs="Arial"/>
          <w:color w:val="auto"/>
          <w:lang w:eastAsia="en-US"/>
        </w:rPr>
        <w:t xml:space="preserve"> may include borrowing in advance of future years’ requirements.</w:t>
      </w:r>
      <w:r w:rsidR="005A5DF8">
        <w:rPr>
          <w:rFonts w:cs="Arial"/>
          <w:color w:val="auto"/>
          <w:lang w:eastAsia="en-US"/>
        </w:rPr>
        <w:t xml:space="preserve">  In using the delegated authority, t</w:t>
      </w:r>
      <w:r w:rsidRPr="00D71D8D">
        <w:rPr>
          <w:rFonts w:cs="Arial"/>
          <w:color w:val="auto"/>
          <w:lang w:eastAsia="en-US"/>
        </w:rPr>
        <w:t>he S151 Officer will take into account the following factors:</w:t>
      </w:r>
    </w:p>
    <w:p w:rsidR="00D71D8D" w:rsidRPr="00D71D8D" w:rsidRDefault="00D71D8D" w:rsidP="00D71D8D">
      <w:pPr>
        <w:numPr>
          <w:ilvl w:val="0"/>
          <w:numId w:val="37"/>
        </w:numPr>
        <w:spacing w:after="0"/>
        <w:contextualSpacing/>
        <w:rPr>
          <w:rFonts w:cs="Arial"/>
          <w:color w:val="auto"/>
          <w:lang w:eastAsia="en-US"/>
        </w:rPr>
      </w:pPr>
      <w:r w:rsidRPr="00D71D8D">
        <w:rPr>
          <w:rFonts w:cs="Arial"/>
          <w:color w:val="auto"/>
          <w:lang w:eastAsia="en-US"/>
        </w:rPr>
        <w:t>The on-going revenue liabilities created, and the implications for the future plans and budgets;</w:t>
      </w:r>
    </w:p>
    <w:p w:rsidR="00D71D8D" w:rsidRPr="00D71D8D" w:rsidRDefault="00D71D8D" w:rsidP="00D71D8D">
      <w:pPr>
        <w:numPr>
          <w:ilvl w:val="0"/>
          <w:numId w:val="37"/>
        </w:numPr>
        <w:spacing w:after="0"/>
        <w:contextualSpacing/>
        <w:rPr>
          <w:rFonts w:cs="Arial"/>
          <w:color w:val="auto"/>
          <w:lang w:eastAsia="en-US"/>
        </w:rPr>
      </w:pPr>
      <w:r w:rsidRPr="00D71D8D">
        <w:rPr>
          <w:rFonts w:cs="Arial"/>
          <w:color w:val="auto"/>
          <w:lang w:eastAsia="en-US"/>
        </w:rPr>
        <w:t>The economic and market factors that might influence the manner and timing of any decision to borrow;</w:t>
      </w:r>
    </w:p>
    <w:p w:rsidR="00D71D8D" w:rsidRPr="00D71D8D" w:rsidRDefault="00D71D8D" w:rsidP="00D71D8D">
      <w:pPr>
        <w:numPr>
          <w:ilvl w:val="0"/>
          <w:numId w:val="37"/>
        </w:numPr>
        <w:spacing w:after="0"/>
        <w:contextualSpacing/>
        <w:rPr>
          <w:rFonts w:cs="Arial"/>
          <w:color w:val="auto"/>
          <w:lang w:eastAsia="en-US"/>
        </w:rPr>
      </w:pPr>
      <w:r w:rsidRPr="00D71D8D">
        <w:rPr>
          <w:rFonts w:cs="Arial"/>
          <w:color w:val="auto"/>
          <w:lang w:eastAsia="en-US"/>
        </w:rPr>
        <w:t>The pros and cons of alternative forms of funding including internal borrowing;</w:t>
      </w:r>
    </w:p>
    <w:p w:rsidR="00D71D8D" w:rsidRPr="00D71D8D" w:rsidRDefault="00D71D8D" w:rsidP="00D71D8D">
      <w:pPr>
        <w:numPr>
          <w:ilvl w:val="0"/>
          <w:numId w:val="37"/>
        </w:numPr>
        <w:spacing w:after="0"/>
        <w:contextualSpacing/>
        <w:rPr>
          <w:rFonts w:cs="Arial"/>
          <w:color w:val="auto"/>
          <w:lang w:eastAsia="en-US"/>
        </w:rPr>
      </w:pPr>
      <w:r w:rsidRPr="00D71D8D">
        <w:rPr>
          <w:rFonts w:cs="Arial"/>
          <w:color w:val="auto"/>
          <w:lang w:eastAsia="en-US"/>
        </w:rPr>
        <w:t>The impact of borrowing in advance on cash balances and the consequent increase in counterparty risk.</w:t>
      </w:r>
    </w:p>
    <w:p w:rsidR="00D71D8D" w:rsidRPr="00D71D8D" w:rsidRDefault="00D71D8D" w:rsidP="00D71D8D">
      <w:pPr>
        <w:spacing w:after="0"/>
        <w:ind w:left="1134"/>
        <w:contextualSpacing/>
        <w:rPr>
          <w:rFonts w:cs="Arial"/>
          <w:color w:val="auto"/>
          <w:lang w:eastAsia="en-US"/>
        </w:rPr>
      </w:pPr>
    </w:p>
    <w:p w:rsidR="00D71D8D" w:rsidRPr="00D71D8D" w:rsidRDefault="00D71D8D" w:rsidP="00D71D8D">
      <w:pPr>
        <w:numPr>
          <w:ilvl w:val="0"/>
          <w:numId w:val="34"/>
        </w:numPr>
        <w:spacing w:after="0"/>
        <w:contextualSpacing/>
        <w:rPr>
          <w:rFonts w:cs="Arial"/>
          <w:color w:val="auto"/>
          <w:lang w:eastAsia="en-US"/>
        </w:rPr>
      </w:pPr>
      <w:r w:rsidRPr="00D71D8D">
        <w:rPr>
          <w:rFonts w:cs="Arial"/>
          <w:color w:val="auto"/>
          <w:lang w:eastAsia="en-US"/>
        </w:rPr>
        <w:t xml:space="preserve">Council officers, in conjunction with </w:t>
      </w:r>
      <w:r w:rsidR="004A3128">
        <w:rPr>
          <w:rFonts w:cs="Arial"/>
          <w:color w:val="auto"/>
          <w:lang w:eastAsia="en-US"/>
        </w:rPr>
        <w:t>the Council’s</w:t>
      </w:r>
      <w:r w:rsidRPr="00D71D8D">
        <w:rPr>
          <w:rFonts w:cs="Arial"/>
          <w:color w:val="auto"/>
          <w:lang w:eastAsia="en-US"/>
        </w:rPr>
        <w:t xml:space="preserve"> treasury advisors, </w:t>
      </w:r>
      <w:r w:rsidR="00E74E79">
        <w:rPr>
          <w:rFonts w:cs="Arial"/>
          <w:color w:val="auto"/>
          <w:lang w:eastAsia="en-US"/>
        </w:rPr>
        <w:t xml:space="preserve">Link </w:t>
      </w:r>
      <w:r w:rsidRPr="00D71D8D">
        <w:rPr>
          <w:rFonts w:cs="Arial"/>
          <w:color w:val="auto"/>
          <w:lang w:eastAsia="en-US"/>
        </w:rPr>
        <w:t>Asset Services</w:t>
      </w:r>
      <w:r w:rsidR="002B0E44">
        <w:rPr>
          <w:rFonts w:cs="Arial"/>
          <w:color w:val="auto"/>
          <w:lang w:eastAsia="en-US"/>
        </w:rPr>
        <w:t>,</w:t>
      </w:r>
      <w:r w:rsidR="00E74E79">
        <w:rPr>
          <w:rFonts w:cs="Arial"/>
          <w:color w:val="auto"/>
          <w:lang w:eastAsia="en-US"/>
        </w:rPr>
        <w:t xml:space="preserve"> </w:t>
      </w:r>
      <w:r w:rsidRPr="00D71D8D">
        <w:rPr>
          <w:rFonts w:cs="Arial"/>
          <w:color w:val="auto"/>
          <w:lang w:eastAsia="en-US"/>
        </w:rPr>
        <w:t>monitor prevailing interest rates and market forecasts, thereby allowing the Council to respond to any changes that may impact on the timing and manner of borrowing decisions, to ensure these are optimised.</w:t>
      </w:r>
    </w:p>
    <w:p w:rsidR="00D71D8D" w:rsidRPr="00D71D8D" w:rsidRDefault="00D71D8D" w:rsidP="00D71D8D">
      <w:pPr>
        <w:spacing w:after="0"/>
        <w:ind w:left="1134"/>
        <w:contextualSpacing/>
        <w:rPr>
          <w:rFonts w:cs="Arial"/>
          <w:color w:val="auto"/>
          <w:lang w:eastAsia="en-US"/>
        </w:rPr>
      </w:pPr>
    </w:p>
    <w:p w:rsidR="00D71D8D" w:rsidRPr="00D71D8D" w:rsidRDefault="00D71D8D" w:rsidP="00D71D8D">
      <w:pPr>
        <w:numPr>
          <w:ilvl w:val="0"/>
          <w:numId w:val="34"/>
        </w:numPr>
        <w:spacing w:after="0"/>
        <w:contextualSpacing/>
        <w:rPr>
          <w:rFonts w:cs="Arial"/>
          <w:color w:val="auto"/>
          <w:lang w:eastAsia="en-US"/>
        </w:rPr>
      </w:pPr>
      <w:r w:rsidRPr="00D71D8D">
        <w:rPr>
          <w:rFonts w:cs="Arial"/>
          <w:color w:val="auto"/>
          <w:lang w:eastAsia="en-US"/>
        </w:rPr>
        <w:t xml:space="preserve">The Council currently has £198.5m of external debt held at fixed rates with varying maturity terms up to 2057.  This debt relates to the Council’s housing stock within its HRA.  The first repayment is due in 2020/21. </w:t>
      </w:r>
      <w:r w:rsidR="00DA4559">
        <w:rPr>
          <w:rFonts w:cs="Arial"/>
          <w:color w:val="auto"/>
          <w:lang w:eastAsia="en-US"/>
        </w:rPr>
        <w:t xml:space="preserve"> It is currently anticipated that debt </w:t>
      </w:r>
      <w:r w:rsidR="008D51B8">
        <w:rPr>
          <w:rFonts w:cs="Arial"/>
          <w:color w:val="auto"/>
          <w:lang w:eastAsia="en-US"/>
        </w:rPr>
        <w:t>to the same value will be taken out in order to replace the debt repaid</w:t>
      </w:r>
      <w:r w:rsidR="00DA4559">
        <w:rPr>
          <w:rFonts w:cs="Arial"/>
          <w:color w:val="auto"/>
          <w:lang w:eastAsia="en-US"/>
        </w:rPr>
        <w:t>.</w:t>
      </w:r>
    </w:p>
    <w:p w:rsidR="00D71D8D" w:rsidRPr="00D71D8D" w:rsidRDefault="00D71D8D" w:rsidP="00D71D8D">
      <w:pPr>
        <w:spacing w:after="0"/>
        <w:ind w:left="1134"/>
        <w:contextualSpacing/>
        <w:rPr>
          <w:rFonts w:cs="Arial"/>
          <w:color w:val="auto"/>
          <w:lang w:eastAsia="en-US"/>
        </w:rPr>
      </w:pPr>
    </w:p>
    <w:p w:rsidR="00D71D8D" w:rsidRPr="00D71D8D" w:rsidRDefault="00D71D8D" w:rsidP="00D71D8D">
      <w:pPr>
        <w:numPr>
          <w:ilvl w:val="0"/>
          <w:numId w:val="34"/>
        </w:numPr>
        <w:spacing w:after="0"/>
        <w:contextualSpacing/>
        <w:rPr>
          <w:rFonts w:cs="Arial"/>
          <w:color w:val="auto"/>
          <w:lang w:eastAsia="en-US"/>
        </w:rPr>
      </w:pPr>
      <w:r w:rsidRPr="00D71D8D">
        <w:rPr>
          <w:rFonts w:cs="Arial"/>
          <w:color w:val="auto"/>
          <w:lang w:eastAsia="en-US"/>
        </w:rPr>
        <w:t xml:space="preserve">The Council’s Capital Financing Requirement </w:t>
      </w:r>
      <w:r w:rsidR="00DA4559">
        <w:rPr>
          <w:rFonts w:cs="Arial"/>
          <w:color w:val="auto"/>
          <w:lang w:eastAsia="en-US"/>
        </w:rPr>
        <w:t xml:space="preserve">(CFR) </w:t>
      </w:r>
      <w:r w:rsidRPr="00D71D8D">
        <w:rPr>
          <w:rFonts w:cs="Arial"/>
          <w:color w:val="auto"/>
          <w:lang w:eastAsia="en-US"/>
        </w:rPr>
        <w:t>is an indication of the Council’s underlying need to borrow to fund its capital investments; this borrowing can be undertaken internally using available resources or externally by borrowing from a financial institution or the Public Works Loans Board (PWLB).</w:t>
      </w:r>
      <w:r w:rsidR="00DA4559">
        <w:rPr>
          <w:rFonts w:cs="Arial"/>
          <w:color w:val="auto"/>
          <w:lang w:eastAsia="en-US"/>
        </w:rPr>
        <w:t xml:space="preserve">  The estimated level of CFR for each year can be found in the Prudential Indicators in Appendix 2.</w:t>
      </w:r>
    </w:p>
    <w:p w:rsidR="00D71D8D" w:rsidRPr="00010297" w:rsidRDefault="00D71D8D" w:rsidP="00010297">
      <w:pPr>
        <w:pStyle w:val="Heading1"/>
      </w:pPr>
      <w:r w:rsidRPr="00010297">
        <w:t>Borrowing Strategy 201</w:t>
      </w:r>
      <w:r w:rsidR="00E74E79" w:rsidRPr="00010297">
        <w:t>8/19</w:t>
      </w:r>
    </w:p>
    <w:p w:rsidR="00D71D8D" w:rsidRPr="00D71D8D" w:rsidRDefault="00D71D8D" w:rsidP="00D71D8D">
      <w:pPr>
        <w:numPr>
          <w:ilvl w:val="0"/>
          <w:numId w:val="34"/>
        </w:numPr>
        <w:spacing w:after="0"/>
        <w:contextualSpacing/>
        <w:rPr>
          <w:rFonts w:cs="Arial"/>
          <w:color w:val="auto"/>
          <w:lang w:eastAsia="en-US"/>
        </w:rPr>
      </w:pPr>
      <w:r w:rsidRPr="00D71D8D">
        <w:rPr>
          <w:rFonts w:cs="Arial"/>
          <w:color w:val="auto"/>
          <w:lang w:eastAsia="en-US"/>
        </w:rPr>
        <w:t>The Council currently has £</w:t>
      </w:r>
      <w:r w:rsidR="00AA77C5">
        <w:rPr>
          <w:rFonts w:cs="Arial"/>
          <w:color w:val="auto"/>
          <w:lang w:eastAsia="en-US"/>
        </w:rPr>
        <w:t>25.1</w:t>
      </w:r>
      <w:r w:rsidRPr="00D71D8D">
        <w:rPr>
          <w:rFonts w:cs="Arial"/>
          <w:color w:val="auto"/>
          <w:lang w:eastAsia="en-US"/>
        </w:rPr>
        <w:t xml:space="preserve"> million of internal borrowing.  This means that the capital borrowing need (the Capital Financing Requirement), has not been fully funded with loan debt as cash supporting the Council’s reserves, balances and cash flow has been used as a temporary funding source.  This strategy is prudent as investment returns are low and counterparty risk is still an issue that needs to be considered.</w:t>
      </w:r>
    </w:p>
    <w:p w:rsidR="00D71D8D" w:rsidRPr="00D71D8D" w:rsidRDefault="00D71D8D" w:rsidP="00D71D8D">
      <w:pPr>
        <w:spacing w:after="0"/>
        <w:contextualSpacing/>
        <w:rPr>
          <w:rFonts w:cs="Arial"/>
          <w:color w:val="auto"/>
          <w:lang w:eastAsia="en-US"/>
        </w:rPr>
      </w:pPr>
    </w:p>
    <w:p w:rsidR="00D71D8D" w:rsidRPr="00D71D8D" w:rsidRDefault="00D71D8D" w:rsidP="00D71D8D">
      <w:pPr>
        <w:numPr>
          <w:ilvl w:val="0"/>
          <w:numId w:val="34"/>
        </w:numPr>
        <w:spacing w:after="0"/>
        <w:contextualSpacing/>
        <w:rPr>
          <w:rFonts w:cs="Arial"/>
          <w:color w:val="auto"/>
          <w:lang w:eastAsia="en-US"/>
        </w:rPr>
      </w:pPr>
      <w:r w:rsidRPr="00D71D8D">
        <w:rPr>
          <w:rFonts w:cs="Arial"/>
          <w:color w:val="auto"/>
          <w:lang w:eastAsia="en-US"/>
        </w:rPr>
        <w:lastRenderedPageBreak/>
        <w:t xml:space="preserve">  The Head of Financial Services will continue to monitor interest rates and adopt a pragmatic approach to changing circumstances:</w:t>
      </w:r>
    </w:p>
    <w:p w:rsidR="00D71D8D" w:rsidRPr="00D71D8D" w:rsidRDefault="00E74E79" w:rsidP="00D71D8D">
      <w:pPr>
        <w:numPr>
          <w:ilvl w:val="0"/>
          <w:numId w:val="41"/>
        </w:numPr>
        <w:spacing w:after="0"/>
        <w:contextualSpacing/>
        <w:rPr>
          <w:rFonts w:cs="Arial"/>
          <w:color w:val="auto"/>
          <w:lang w:eastAsia="en-US"/>
        </w:rPr>
      </w:pPr>
      <w:r>
        <w:rPr>
          <w:rFonts w:cs="Arial"/>
          <w:color w:val="auto"/>
          <w:lang w:eastAsia="en-US"/>
        </w:rPr>
        <w:t>I</w:t>
      </w:r>
      <w:r w:rsidR="00D71D8D" w:rsidRPr="00D71D8D">
        <w:rPr>
          <w:rFonts w:cs="Arial"/>
          <w:color w:val="auto"/>
          <w:lang w:eastAsia="en-US"/>
        </w:rPr>
        <w:t xml:space="preserve">f it is </w:t>
      </w:r>
      <w:r>
        <w:rPr>
          <w:rFonts w:cs="Arial"/>
          <w:color w:val="auto"/>
          <w:lang w:eastAsia="en-US"/>
        </w:rPr>
        <w:t>considered</w:t>
      </w:r>
      <w:r w:rsidR="00D71D8D" w:rsidRPr="00D71D8D">
        <w:rPr>
          <w:rFonts w:cs="Arial"/>
          <w:color w:val="auto"/>
          <w:lang w:eastAsia="en-US"/>
        </w:rPr>
        <w:t xml:space="preserve"> that there is a likelihood of a significant fall in long and short term rates (e.g. du</w:t>
      </w:r>
      <w:r w:rsidR="0062055D">
        <w:rPr>
          <w:rFonts w:cs="Arial"/>
          <w:color w:val="auto"/>
          <w:lang w:eastAsia="en-US"/>
        </w:rPr>
        <w:t xml:space="preserve">e to a marked increase of risks in respect of recession or </w:t>
      </w:r>
      <w:r w:rsidR="00D71D8D" w:rsidRPr="00D71D8D">
        <w:rPr>
          <w:rFonts w:cs="Arial"/>
          <w:color w:val="auto"/>
          <w:lang w:eastAsia="en-US"/>
        </w:rPr>
        <w:t>deflation), then long term borrowing will be postponed, and potential rescheduling from fixed rate funding into short term borrowing will be considered.</w:t>
      </w:r>
    </w:p>
    <w:p w:rsidR="00D71D8D" w:rsidRPr="00D71D8D" w:rsidRDefault="00D71D8D" w:rsidP="00D71D8D">
      <w:pPr>
        <w:numPr>
          <w:ilvl w:val="0"/>
          <w:numId w:val="41"/>
        </w:numPr>
        <w:spacing w:after="0"/>
        <w:contextualSpacing/>
        <w:rPr>
          <w:rFonts w:cs="Arial"/>
          <w:color w:val="auto"/>
          <w:lang w:eastAsia="en-US"/>
        </w:rPr>
      </w:pPr>
      <w:r w:rsidRPr="00D71D8D">
        <w:rPr>
          <w:rFonts w:cs="Arial"/>
          <w:color w:val="auto"/>
          <w:lang w:eastAsia="en-US"/>
        </w:rPr>
        <w:t>Alternat</w:t>
      </w:r>
      <w:r w:rsidR="0062055D">
        <w:rPr>
          <w:rFonts w:cs="Arial"/>
          <w:color w:val="auto"/>
          <w:lang w:eastAsia="en-US"/>
        </w:rPr>
        <w:t>ive</w:t>
      </w:r>
      <w:r w:rsidRPr="00D71D8D">
        <w:rPr>
          <w:rFonts w:cs="Arial"/>
          <w:color w:val="auto"/>
          <w:lang w:eastAsia="en-US"/>
        </w:rPr>
        <w:t>ly</w:t>
      </w:r>
      <w:r w:rsidR="0062055D">
        <w:rPr>
          <w:rFonts w:cs="Arial"/>
          <w:color w:val="auto"/>
          <w:lang w:eastAsia="en-US"/>
        </w:rPr>
        <w:t>,</w:t>
      </w:r>
      <w:r w:rsidRPr="00D71D8D">
        <w:rPr>
          <w:rFonts w:cs="Arial"/>
          <w:color w:val="auto"/>
          <w:lang w:eastAsia="en-US"/>
        </w:rPr>
        <w:t xml:space="preserve"> if it is felt that there is a significant risk of a sharp increase in long and short term rates than currently forecast, then external borrowing is likely to be taken earlier.</w:t>
      </w:r>
    </w:p>
    <w:p w:rsidR="00D71D8D" w:rsidRPr="00010297" w:rsidRDefault="00D71D8D" w:rsidP="00010297">
      <w:pPr>
        <w:pStyle w:val="Heading1"/>
      </w:pPr>
      <w:bookmarkStart w:id="0" w:name="_Toc465084317"/>
      <w:r w:rsidRPr="00010297">
        <w:t>Borrowing in Advance of Need</w:t>
      </w:r>
      <w:bookmarkEnd w:id="0"/>
    </w:p>
    <w:p w:rsidR="00D71D8D" w:rsidRPr="00D71D8D" w:rsidRDefault="00D71D8D" w:rsidP="00D71D8D">
      <w:pPr>
        <w:numPr>
          <w:ilvl w:val="0"/>
          <w:numId w:val="34"/>
        </w:numPr>
        <w:spacing w:after="0"/>
        <w:contextualSpacing/>
        <w:rPr>
          <w:rFonts w:cs="Arial"/>
          <w:color w:val="auto"/>
          <w:lang w:eastAsia="en-US"/>
        </w:rPr>
      </w:pPr>
      <w:r w:rsidRPr="00D71D8D">
        <w:rPr>
          <w:rFonts w:cs="Arial"/>
          <w:color w:val="auto"/>
          <w:lang w:eastAsia="en-US"/>
        </w:rPr>
        <w:t>Any decision to borrow in advance will be within approved Capital Financing Requirement estimates, and demonstrate value for money.   Prior to borrowing in advance the risks and benefits of undertaking the borrowing will be considered. Actual borrowing will be subsequently reported through either the mid-year performance report or annual report as appropriate.</w:t>
      </w:r>
      <w:r w:rsidR="00DA4559">
        <w:rPr>
          <w:rFonts w:cs="Arial"/>
          <w:color w:val="auto"/>
          <w:lang w:eastAsia="en-US"/>
        </w:rPr>
        <w:t xml:space="preserve">  Due to the amount of Prudential Borrowing in the </w:t>
      </w:r>
      <w:r w:rsidR="001250F2">
        <w:rPr>
          <w:rFonts w:cs="Arial"/>
          <w:color w:val="auto"/>
          <w:lang w:eastAsia="en-US"/>
        </w:rPr>
        <w:t>C</w:t>
      </w:r>
      <w:r w:rsidR="00DA4559">
        <w:rPr>
          <w:rFonts w:cs="Arial"/>
          <w:color w:val="auto"/>
          <w:lang w:eastAsia="en-US"/>
        </w:rPr>
        <w:t xml:space="preserve">apital </w:t>
      </w:r>
      <w:r w:rsidR="001250F2">
        <w:rPr>
          <w:rFonts w:cs="Arial"/>
          <w:color w:val="auto"/>
          <w:lang w:eastAsia="en-US"/>
        </w:rPr>
        <w:t>P</w:t>
      </w:r>
      <w:r w:rsidR="00DA4559">
        <w:rPr>
          <w:rFonts w:cs="Arial"/>
          <w:color w:val="auto"/>
          <w:lang w:eastAsia="en-US"/>
        </w:rPr>
        <w:t>rogramme, the potential benefits of borrowing in advance will be closely monitored.</w:t>
      </w:r>
    </w:p>
    <w:p w:rsidR="00D71D8D" w:rsidRPr="00010297" w:rsidRDefault="00D71D8D" w:rsidP="00010297">
      <w:pPr>
        <w:pStyle w:val="Heading1"/>
      </w:pPr>
      <w:r w:rsidRPr="00010297">
        <w:t>Minimum Revenue Provision (MRP) Statement 201</w:t>
      </w:r>
      <w:r w:rsidR="0062055D" w:rsidRPr="00010297">
        <w:t>8/19</w:t>
      </w:r>
    </w:p>
    <w:p w:rsidR="00D71D8D" w:rsidRPr="00D71D8D" w:rsidRDefault="00D71D8D" w:rsidP="00D71D8D">
      <w:pPr>
        <w:numPr>
          <w:ilvl w:val="0"/>
          <w:numId w:val="34"/>
        </w:numPr>
        <w:spacing w:after="0"/>
        <w:contextualSpacing/>
        <w:rPr>
          <w:rFonts w:cs="Arial"/>
          <w:color w:val="auto"/>
          <w:lang w:eastAsia="en-US"/>
        </w:rPr>
      </w:pPr>
      <w:r w:rsidRPr="00D71D8D">
        <w:rPr>
          <w:rFonts w:cs="Arial"/>
          <w:color w:val="auto"/>
          <w:lang w:eastAsia="en-US"/>
        </w:rPr>
        <w:t>Prudential borrowing increases the Council’s Capital Financing Requirement (CFR) or underlying need to borrow.  Whether the Council actually borrows to finance capital expenditure is a treasury management decision unconnected to the capital financing decision.  In practice, the Council is likely to use a combination of internal and external borrowing in the medium term to fund the Capital Programme.  The amount of external borrowing undertaken will depend on the borrowing requirement compared to the projected level of cash balances.  The Council is required to make a prudent charge to its revenue account for borrowing.  This charge is known as the Minimum Revenue Provision (MRP) and reflects the repayment of principal borrowed.</w:t>
      </w:r>
    </w:p>
    <w:p w:rsidR="00D71D8D" w:rsidRPr="00D71D8D" w:rsidRDefault="00D71D8D" w:rsidP="00D71D8D">
      <w:pPr>
        <w:spacing w:after="0"/>
        <w:ind w:left="720"/>
        <w:contextualSpacing/>
        <w:rPr>
          <w:rFonts w:cs="Arial"/>
          <w:color w:val="auto"/>
          <w:lang w:eastAsia="en-US"/>
        </w:rPr>
      </w:pPr>
    </w:p>
    <w:p w:rsidR="00D71D8D" w:rsidRPr="00D71D8D" w:rsidRDefault="00D71D8D" w:rsidP="00D71D8D">
      <w:pPr>
        <w:numPr>
          <w:ilvl w:val="0"/>
          <w:numId w:val="34"/>
        </w:numPr>
        <w:spacing w:after="0"/>
        <w:contextualSpacing/>
        <w:rPr>
          <w:rFonts w:cs="Arial"/>
          <w:color w:val="auto"/>
          <w:lang w:eastAsia="en-US"/>
        </w:rPr>
      </w:pPr>
      <w:r w:rsidRPr="00D71D8D">
        <w:rPr>
          <w:rFonts w:cs="Arial"/>
          <w:color w:val="auto"/>
          <w:lang w:eastAsia="en-US"/>
        </w:rPr>
        <w:t>Regulations require the Council to approve an MRP policy on an annual basis.  The following statement is recommended for 201</w:t>
      </w:r>
      <w:r w:rsidR="0062055D">
        <w:rPr>
          <w:rFonts w:cs="Arial"/>
          <w:color w:val="auto"/>
          <w:lang w:eastAsia="en-US"/>
        </w:rPr>
        <w:t>8</w:t>
      </w:r>
      <w:r w:rsidRPr="00D71D8D">
        <w:rPr>
          <w:rFonts w:cs="Arial"/>
          <w:color w:val="auto"/>
          <w:lang w:eastAsia="en-US"/>
        </w:rPr>
        <w:t>/1</w:t>
      </w:r>
      <w:r w:rsidR="0062055D">
        <w:rPr>
          <w:rFonts w:cs="Arial"/>
          <w:color w:val="auto"/>
          <w:lang w:eastAsia="en-US"/>
        </w:rPr>
        <w:t>9</w:t>
      </w:r>
      <w:r w:rsidRPr="00D71D8D">
        <w:rPr>
          <w:rFonts w:cs="Arial"/>
          <w:color w:val="auto"/>
          <w:lang w:eastAsia="en-US"/>
        </w:rPr>
        <w:t>:</w:t>
      </w:r>
    </w:p>
    <w:p w:rsidR="00D71D8D" w:rsidRPr="00D71D8D" w:rsidRDefault="00D71D8D" w:rsidP="00D71D8D">
      <w:pPr>
        <w:spacing w:after="0"/>
        <w:ind w:left="1440"/>
        <w:contextualSpacing/>
        <w:rPr>
          <w:rFonts w:cs="Arial"/>
          <w:color w:val="auto"/>
          <w:lang w:eastAsia="en-US"/>
        </w:rPr>
      </w:pPr>
    </w:p>
    <w:p w:rsidR="00D71D8D" w:rsidRPr="00D71D8D" w:rsidRDefault="00D71D8D" w:rsidP="00D71D8D">
      <w:pPr>
        <w:numPr>
          <w:ilvl w:val="0"/>
          <w:numId w:val="38"/>
        </w:numPr>
        <w:spacing w:after="0"/>
        <w:ind w:left="1080"/>
        <w:contextualSpacing/>
        <w:rPr>
          <w:rFonts w:cs="Arial"/>
          <w:color w:val="auto"/>
          <w:lang w:eastAsia="en-US"/>
        </w:rPr>
      </w:pPr>
      <w:r w:rsidRPr="00D71D8D">
        <w:rPr>
          <w:rFonts w:cs="Arial"/>
          <w:color w:val="auto"/>
          <w:lang w:eastAsia="en-US"/>
        </w:rPr>
        <w:t xml:space="preserve">For capital expenditure incurred before 1 April 2008 or which in the future will be </w:t>
      </w:r>
      <w:r w:rsidR="001250F2">
        <w:rPr>
          <w:rFonts w:cs="Arial"/>
          <w:color w:val="auto"/>
          <w:lang w:eastAsia="en-US"/>
        </w:rPr>
        <w:t>S</w:t>
      </w:r>
      <w:r w:rsidRPr="00D71D8D">
        <w:rPr>
          <w:rFonts w:cs="Arial"/>
          <w:color w:val="auto"/>
          <w:lang w:eastAsia="en-US"/>
        </w:rPr>
        <w:t xml:space="preserve">upported </w:t>
      </w:r>
      <w:r w:rsidR="001250F2">
        <w:rPr>
          <w:rFonts w:cs="Arial"/>
          <w:color w:val="auto"/>
          <w:lang w:eastAsia="en-US"/>
        </w:rPr>
        <w:t>C</w:t>
      </w:r>
      <w:r w:rsidRPr="00D71D8D">
        <w:rPr>
          <w:rFonts w:cs="Arial"/>
          <w:color w:val="auto"/>
          <w:lang w:eastAsia="en-US"/>
        </w:rPr>
        <w:t xml:space="preserve">apital </w:t>
      </w:r>
      <w:r w:rsidR="001250F2">
        <w:rPr>
          <w:rFonts w:cs="Arial"/>
          <w:color w:val="auto"/>
          <w:lang w:eastAsia="en-US"/>
        </w:rPr>
        <w:t>E</w:t>
      </w:r>
      <w:r w:rsidRPr="00D71D8D">
        <w:rPr>
          <w:rFonts w:cs="Arial"/>
          <w:color w:val="auto"/>
          <w:lang w:eastAsia="en-US"/>
        </w:rPr>
        <w:t>xpenditure</w:t>
      </w:r>
      <w:r w:rsidRPr="00D71D8D">
        <w:rPr>
          <w:rFonts w:cs="Arial"/>
          <w:color w:val="auto"/>
          <w:vertAlign w:val="superscript"/>
          <w:lang w:eastAsia="en-US"/>
        </w:rPr>
        <w:footnoteReference w:id="1"/>
      </w:r>
      <w:r w:rsidRPr="00D71D8D">
        <w:rPr>
          <w:rFonts w:cs="Arial"/>
          <w:color w:val="auto"/>
          <w:lang w:eastAsia="en-US"/>
        </w:rPr>
        <w:t>, existing practice, outlined in the former Department for Communities and Local Government (DCLG) regulations will apply.</w:t>
      </w:r>
    </w:p>
    <w:p w:rsidR="00D71D8D" w:rsidRPr="00D71D8D" w:rsidRDefault="00D71D8D" w:rsidP="00D71D8D">
      <w:pPr>
        <w:spacing w:after="0"/>
        <w:ind w:left="1080"/>
        <w:contextualSpacing/>
        <w:rPr>
          <w:rFonts w:cs="Arial"/>
          <w:color w:val="auto"/>
          <w:lang w:eastAsia="en-US"/>
        </w:rPr>
      </w:pPr>
    </w:p>
    <w:p w:rsidR="00D71D8D" w:rsidRPr="00D71D8D" w:rsidRDefault="00D71D8D" w:rsidP="00D71D8D">
      <w:pPr>
        <w:numPr>
          <w:ilvl w:val="0"/>
          <w:numId w:val="38"/>
        </w:numPr>
        <w:spacing w:after="0"/>
        <w:ind w:left="1080"/>
        <w:contextualSpacing/>
        <w:rPr>
          <w:rFonts w:cs="Arial"/>
          <w:color w:val="auto"/>
          <w:lang w:eastAsia="en-US"/>
        </w:rPr>
      </w:pPr>
      <w:r w:rsidRPr="00D71D8D">
        <w:rPr>
          <w:rFonts w:cs="Arial"/>
          <w:color w:val="auto"/>
          <w:lang w:eastAsia="en-US"/>
        </w:rPr>
        <w:t>For capital expenditure that relates to the assets transferred from the Housing Revenue Account (HRA) to the General Fund (GF) MRP will be based on the estimated useful life of the assets, taking into account the number of years the assets have been in existence, and previous funding allocated to them.</w:t>
      </w:r>
    </w:p>
    <w:p w:rsidR="00D71D8D" w:rsidRPr="00D71D8D" w:rsidRDefault="00D71D8D" w:rsidP="00D71D8D">
      <w:pPr>
        <w:spacing w:after="0"/>
        <w:ind w:left="1440"/>
        <w:contextualSpacing/>
        <w:rPr>
          <w:rFonts w:cs="Arial"/>
          <w:color w:val="auto"/>
          <w:lang w:eastAsia="en-US"/>
        </w:rPr>
      </w:pPr>
    </w:p>
    <w:p w:rsidR="00D71D8D" w:rsidRPr="00D71D8D" w:rsidRDefault="00D71D8D" w:rsidP="00D71D8D">
      <w:pPr>
        <w:numPr>
          <w:ilvl w:val="0"/>
          <w:numId w:val="38"/>
        </w:numPr>
        <w:spacing w:after="0"/>
        <w:ind w:left="1080"/>
        <w:contextualSpacing/>
        <w:rPr>
          <w:rFonts w:cs="Arial"/>
          <w:color w:val="auto"/>
          <w:lang w:eastAsia="en-US"/>
        </w:rPr>
      </w:pPr>
      <w:r w:rsidRPr="00D71D8D">
        <w:rPr>
          <w:rFonts w:cs="Arial"/>
          <w:color w:val="auto"/>
          <w:lang w:eastAsia="en-US"/>
        </w:rPr>
        <w:lastRenderedPageBreak/>
        <w:t xml:space="preserve">For all </w:t>
      </w:r>
      <w:r w:rsidR="001250F2">
        <w:rPr>
          <w:rFonts w:cs="Arial"/>
          <w:color w:val="auto"/>
          <w:lang w:eastAsia="en-US"/>
        </w:rPr>
        <w:t>U</w:t>
      </w:r>
      <w:r w:rsidRPr="00D71D8D">
        <w:rPr>
          <w:rFonts w:cs="Arial"/>
          <w:color w:val="auto"/>
          <w:lang w:eastAsia="en-US"/>
        </w:rPr>
        <w:t xml:space="preserve">nsupported </w:t>
      </w:r>
      <w:r w:rsidR="001250F2">
        <w:rPr>
          <w:rFonts w:cs="Arial"/>
          <w:color w:val="auto"/>
          <w:lang w:eastAsia="en-US"/>
        </w:rPr>
        <w:t>B</w:t>
      </w:r>
      <w:r w:rsidRPr="00D71D8D">
        <w:rPr>
          <w:rFonts w:cs="Arial"/>
          <w:color w:val="auto"/>
          <w:lang w:eastAsia="en-US"/>
        </w:rPr>
        <w:t>orrowing</w:t>
      </w:r>
      <w:r w:rsidRPr="00D71D8D">
        <w:rPr>
          <w:rFonts w:cs="Arial"/>
          <w:color w:val="auto"/>
          <w:vertAlign w:val="superscript"/>
          <w:lang w:eastAsia="en-US"/>
        </w:rPr>
        <w:footnoteReference w:id="2"/>
      </w:r>
      <w:r w:rsidRPr="00D71D8D">
        <w:rPr>
          <w:rFonts w:cs="Arial"/>
          <w:color w:val="auto"/>
          <w:lang w:eastAsia="en-US"/>
        </w:rPr>
        <w:t xml:space="preserve"> incurred after 1 April 2008 the MRP policy will be the Asset Life Method (with the exception of d) below, i.e. the MRP will be based on the estimated life of the asset and borrowing will be charged to the revenue account in equal instalments over the life of the asset.</w:t>
      </w:r>
    </w:p>
    <w:p w:rsidR="00D71D8D" w:rsidRPr="00D71D8D" w:rsidRDefault="00D71D8D" w:rsidP="00D71D8D">
      <w:pPr>
        <w:spacing w:after="0"/>
        <w:ind w:left="1440"/>
        <w:contextualSpacing/>
        <w:rPr>
          <w:rFonts w:cs="Arial"/>
          <w:color w:val="auto"/>
          <w:lang w:eastAsia="en-US"/>
        </w:rPr>
      </w:pPr>
    </w:p>
    <w:p w:rsidR="00D71D8D" w:rsidRPr="00D71D8D" w:rsidRDefault="00D71D8D" w:rsidP="00D71D8D">
      <w:pPr>
        <w:numPr>
          <w:ilvl w:val="0"/>
          <w:numId w:val="38"/>
        </w:numPr>
        <w:spacing w:after="0"/>
        <w:ind w:left="1080"/>
        <w:contextualSpacing/>
        <w:rPr>
          <w:rFonts w:cs="Arial"/>
          <w:color w:val="auto"/>
          <w:lang w:eastAsia="en-US"/>
        </w:rPr>
      </w:pPr>
      <w:r w:rsidRPr="00D71D8D">
        <w:rPr>
          <w:rFonts w:cs="Arial"/>
          <w:color w:val="auto"/>
          <w:lang w:eastAsia="en-US"/>
        </w:rPr>
        <w:t xml:space="preserve">In respect of the Council’s investments in a Directly Managed Property Fund or loans to other organisations such as a company in which the Council has an interest, under </w:t>
      </w:r>
      <w:proofErr w:type="gramStart"/>
      <w:r w:rsidRPr="00D71D8D">
        <w:rPr>
          <w:rFonts w:cs="Arial"/>
          <w:color w:val="auto"/>
          <w:lang w:eastAsia="en-US"/>
        </w:rPr>
        <w:t>s25(</w:t>
      </w:r>
      <w:proofErr w:type="gramEnd"/>
      <w:r w:rsidRPr="00D71D8D">
        <w:rPr>
          <w:rFonts w:cs="Arial"/>
          <w:color w:val="auto"/>
          <w:lang w:eastAsia="en-US"/>
        </w:rPr>
        <w:t>b)/s25(d) of The Local Authorities Capital Finance and Accounting (England) Regulations 2003 the Council will make no MRP provision as it is anticipated the investment will be repaid in full.  The investment and CFR position will be reviewed on at least an annual basis and if there is a likelihood of capital loss, a prudent MRP provision will then be made.</w:t>
      </w:r>
    </w:p>
    <w:p w:rsidR="00D71D8D" w:rsidRPr="004A3128" w:rsidRDefault="00D71D8D" w:rsidP="004A3128">
      <w:pPr>
        <w:pStyle w:val="Heading1"/>
      </w:pPr>
      <w:r w:rsidRPr="004A3128">
        <w:t>Investment Strategy 201</w:t>
      </w:r>
      <w:r w:rsidR="0062055D" w:rsidRPr="004A3128">
        <w:t>8/19</w:t>
      </w:r>
    </w:p>
    <w:p w:rsidR="00D71D8D" w:rsidRPr="004A3128" w:rsidRDefault="00D71D8D" w:rsidP="004A3128">
      <w:pPr>
        <w:pStyle w:val="Heading1"/>
      </w:pPr>
      <w:r w:rsidRPr="004A3128">
        <w:t>Interest rates</w:t>
      </w:r>
    </w:p>
    <w:p w:rsidR="00D71D8D" w:rsidRPr="00D71D8D" w:rsidRDefault="00D71D8D" w:rsidP="00BB74A3">
      <w:pPr>
        <w:numPr>
          <w:ilvl w:val="0"/>
          <w:numId w:val="34"/>
        </w:numPr>
        <w:spacing w:after="0"/>
        <w:contextualSpacing/>
        <w:rPr>
          <w:rFonts w:cs="Arial"/>
          <w:color w:val="auto"/>
          <w:lang w:eastAsia="en-US"/>
        </w:rPr>
      </w:pPr>
      <w:r w:rsidRPr="00D71D8D">
        <w:rPr>
          <w:rFonts w:cs="Arial"/>
          <w:color w:val="auto"/>
          <w:lang w:eastAsia="en-US"/>
        </w:rPr>
        <w:t>Average cash balances for the year to 3</w:t>
      </w:r>
      <w:r w:rsidR="00AA77C5">
        <w:rPr>
          <w:rFonts w:cs="Arial"/>
          <w:color w:val="auto"/>
          <w:lang w:eastAsia="en-US"/>
        </w:rPr>
        <w:t>1</w:t>
      </w:r>
      <w:r w:rsidR="00AA77C5" w:rsidRPr="00AA77C5">
        <w:rPr>
          <w:rFonts w:cs="Arial"/>
          <w:color w:val="auto"/>
          <w:vertAlign w:val="superscript"/>
          <w:lang w:eastAsia="en-US"/>
        </w:rPr>
        <w:t>st</w:t>
      </w:r>
      <w:r w:rsidR="00AA77C5">
        <w:rPr>
          <w:rFonts w:cs="Arial"/>
          <w:color w:val="auto"/>
          <w:lang w:eastAsia="en-US"/>
        </w:rPr>
        <w:t xml:space="preserve"> December</w:t>
      </w:r>
      <w:r w:rsidRPr="00D71D8D">
        <w:rPr>
          <w:rFonts w:cs="Arial"/>
          <w:color w:val="auto"/>
          <w:lang w:eastAsia="en-US"/>
        </w:rPr>
        <w:t xml:space="preserve"> 201</w:t>
      </w:r>
      <w:r w:rsidR="000A41E7">
        <w:rPr>
          <w:rFonts w:cs="Arial"/>
          <w:color w:val="auto"/>
          <w:lang w:eastAsia="en-US"/>
        </w:rPr>
        <w:t xml:space="preserve">7 were </w:t>
      </w:r>
      <w:r w:rsidR="00BB74A3" w:rsidRPr="00BB74A3">
        <w:rPr>
          <w:rFonts w:cs="Arial"/>
          <w:color w:val="auto"/>
          <w:lang w:eastAsia="en-US"/>
        </w:rPr>
        <w:t>£93.7m</w:t>
      </w:r>
      <w:r w:rsidR="00BB74A3">
        <w:rPr>
          <w:rFonts w:cs="Arial"/>
          <w:color w:val="auto"/>
          <w:lang w:eastAsia="en-US"/>
        </w:rPr>
        <w:t>,</w:t>
      </w:r>
      <w:r w:rsidR="00BB74A3" w:rsidRPr="00BB74A3">
        <w:rPr>
          <w:rFonts w:cs="Arial"/>
          <w:color w:val="auto"/>
          <w:lang w:eastAsia="en-US"/>
        </w:rPr>
        <w:t xml:space="preserve"> </w:t>
      </w:r>
      <w:r w:rsidRPr="00D71D8D">
        <w:rPr>
          <w:rFonts w:cs="Arial"/>
          <w:color w:val="auto"/>
          <w:lang w:eastAsia="en-US"/>
        </w:rPr>
        <w:t xml:space="preserve">having fluctuated between </w:t>
      </w:r>
      <w:r w:rsidR="00BB74A3" w:rsidRPr="00BB74A3">
        <w:rPr>
          <w:rFonts w:cs="Arial"/>
          <w:color w:val="auto"/>
          <w:lang w:eastAsia="en-US"/>
        </w:rPr>
        <w:t>£72.9m to £106.2m</w:t>
      </w:r>
      <w:r w:rsidRPr="00D71D8D">
        <w:rPr>
          <w:rFonts w:cs="Arial"/>
          <w:color w:val="auto"/>
          <w:lang w:eastAsia="en-US"/>
        </w:rPr>
        <w:t>.</w:t>
      </w:r>
    </w:p>
    <w:p w:rsidR="00D71D8D" w:rsidRPr="00D71D8D" w:rsidRDefault="00D71D8D" w:rsidP="00D71D8D">
      <w:pPr>
        <w:spacing w:after="0"/>
        <w:ind w:left="720"/>
        <w:contextualSpacing/>
        <w:rPr>
          <w:rFonts w:cs="Arial"/>
          <w:color w:val="auto"/>
          <w:lang w:eastAsia="en-US"/>
        </w:rPr>
      </w:pPr>
    </w:p>
    <w:p w:rsidR="00D71D8D" w:rsidRPr="00220389" w:rsidRDefault="0062055D" w:rsidP="00220389">
      <w:pPr>
        <w:numPr>
          <w:ilvl w:val="0"/>
          <w:numId w:val="34"/>
        </w:numPr>
        <w:spacing w:after="0"/>
        <w:contextualSpacing/>
        <w:rPr>
          <w:rFonts w:cs="Arial"/>
          <w:color w:val="auto"/>
          <w:lang w:eastAsia="en-US"/>
        </w:rPr>
      </w:pPr>
      <w:r w:rsidRPr="000A41E7">
        <w:rPr>
          <w:rFonts w:cs="Arial"/>
          <w:color w:val="auto"/>
          <w:lang w:eastAsia="en-US"/>
        </w:rPr>
        <w:t xml:space="preserve">In November 2017, base rate </w:t>
      </w:r>
      <w:r w:rsidR="001250F2">
        <w:rPr>
          <w:rFonts w:cs="Arial"/>
          <w:color w:val="auto"/>
          <w:lang w:eastAsia="en-US"/>
        </w:rPr>
        <w:t>increased</w:t>
      </w:r>
      <w:r w:rsidRPr="000A41E7">
        <w:rPr>
          <w:rFonts w:cs="Arial"/>
          <w:color w:val="auto"/>
          <w:lang w:eastAsia="en-US"/>
        </w:rPr>
        <w:t xml:space="preserve"> to 0.5% from 0.25% wh</w:t>
      </w:r>
      <w:r w:rsidR="003E4817">
        <w:rPr>
          <w:rFonts w:cs="Arial"/>
          <w:color w:val="auto"/>
          <w:lang w:eastAsia="en-US"/>
        </w:rPr>
        <w:t>ere it</w:t>
      </w:r>
      <w:r w:rsidRPr="000A41E7">
        <w:rPr>
          <w:rFonts w:cs="Arial"/>
          <w:color w:val="auto"/>
          <w:lang w:eastAsia="en-US"/>
        </w:rPr>
        <w:t xml:space="preserve"> </w:t>
      </w:r>
      <w:r w:rsidR="00BB74A3">
        <w:rPr>
          <w:rFonts w:cs="Arial"/>
          <w:color w:val="auto"/>
          <w:lang w:eastAsia="en-US"/>
        </w:rPr>
        <w:t>h</w:t>
      </w:r>
      <w:r w:rsidRPr="000A41E7">
        <w:rPr>
          <w:rFonts w:cs="Arial"/>
          <w:color w:val="auto"/>
          <w:lang w:eastAsia="en-US"/>
        </w:rPr>
        <w:t>a</w:t>
      </w:r>
      <w:r w:rsidR="001250F2">
        <w:rPr>
          <w:rFonts w:cs="Arial"/>
          <w:color w:val="auto"/>
          <w:lang w:eastAsia="en-US"/>
        </w:rPr>
        <w:t>d</w:t>
      </w:r>
      <w:r w:rsidRPr="000A41E7">
        <w:rPr>
          <w:rFonts w:cs="Arial"/>
          <w:color w:val="auto"/>
          <w:lang w:eastAsia="en-US"/>
        </w:rPr>
        <w:t xml:space="preserve"> </w:t>
      </w:r>
      <w:r w:rsidR="00BB74A3">
        <w:rPr>
          <w:rFonts w:cs="Arial"/>
          <w:color w:val="auto"/>
          <w:lang w:eastAsia="en-US"/>
        </w:rPr>
        <w:t>been since</w:t>
      </w:r>
      <w:r w:rsidRPr="000A41E7">
        <w:rPr>
          <w:rFonts w:cs="Arial"/>
          <w:color w:val="auto"/>
          <w:lang w:eastAsia="en-US"/>
        </w:rPr>
        <w:t xml:space="preserve"> </w:t>
      </w:r>
      <w:r w:rsidR="00D71D8D" w:rsidRPr="000A41E7">
        <w:rPr>
          <w:rFonts w:cs="Arial"/>
          <w:color w:val="auto"/>
          <w:lang w:eastAsia="en-US"/>
        </w:rPr>
        <w:t>August 2016</w:t>
      </w:r>
      <w:r w:rsidRPr="000A41E7">
        <w:rPr>
          <w:rFonts w:cs="Arial"/>
          <w:color w:val="auto"/>
          <w:lang w:eastAsia="en-US"/>
        </w:rPr>
        <w:t>.</w:t>
      </w:r>
      <w:r w:rsidR="00D71D8D" w:rsidRPr="000A41E7">
        <w:rPr>
          <w:rFonts w:cs="Arial"/>
          <w:color w:val="auto"/>
          <w:lang w:eastAsia="en-US"/>
        </w:rPr>
        <w:t xml:space="preserve"> </w:t>
      </w:r>
      <w:r w:rsidRPr="000A41E7">
        <w:rPr>
          <w:rFonts w:cs="Arial"/>
          <w:color w:val="auto"/>
          <w:lang w:eastAsia="en-US"/>
        </w:rPr>
        <w:t>It is yet to be seen whether the latest rise is the beginning of a gradual rate rise over the coming year</w:t>
      </w:r>
      <w:r w:rsidR="00220389">
        <w:rPr>
          <w:rFonts w:cs="Arial"/>
          <w:color w:val="auto"/>
          <w:lang w:eastAsia="en-US"/>
        </w:rPr>
        <w:t xml:space="preserve">. </w:t>
      </w:r>
      <w:r w:rsidRPr="00220389">
        <w:rPr>
          <w:rFonts w:cs="Arial"/>
          <w:color w:val="auto"/>
          <w:lang w:eastAsia="en-US"/>
        </w:rPr>
        <w:t xml:space="preserve"> </w:t>
      </w:r>
      <w:r w:rsidR="00220389" w:rsidRPr="00220389">
        <w:rPr>
          <w:rFonts w:cs="Arial"/>
          <w:color w:val="auto"/>
          <w:lang w:eastAsia="en-US"/>
        </w:rPr>
        <w:t>E</w:t>
      </w:r>
      <w:r w:rsidRPr="00220389">
        <w:rPr>
          <w:rFonts w:cs="Arial"/>
          <w:color w:val="auto"/>
          <w:lang w:eastAsia="en-US"/>
        </w:rPr>
        <w:t>conomic forecasts suggest that base rate will rise to 0.75% around June 2018 and that it will continue to in</w:t>
      </w:r>
      <w:r w:rsidR="000A41E7" w:rsidRPr="00220389">
        <w:rPr>
          <w:rFonts w:cs="Arial"/>
          <w:color w:val="auto"/>
          <w:lang w:eastAsia="en-US"/>
        </w:rPr>
        <w:t>crease thereafter</w:t>
      </w:r>
      <w:r w:rsidR="00220389" w:rsidRPr="00220389">
        <w:rPr>
          <w:rFonts w:cs="Arial"/>
          <w:color w:val="auto"/>
          <w:lang w:eastAsia="en-US"/>
        </w:rPr>
        <w:t>, but the Council’s advisers believe that base rate will not rise again until late 2019</w:t>
      </w:r>
      <w:r w:rsidR="00BB74A3" w:rsidRPr="00220389">
        <w:rPr>
          <w:rFonts w:cs="Arial"/>
          <w:color w:val="auto"/>
          <w:lang w:eastAsia="en-US"/>
        </w:rPr>
        <w:t>; the situation will therefore be closely monitored</w:t>
      </w:r>
      <w:r w:rsidR="000A41E7" w:rsidRPr="00220389">
        <w:rPr>
          <w:rFonts w:cs="Arial"/>
          <w:color w:val="auto"/>
          <w:lang w:eastAsia="en-US"/>
        </w:rPr>
        <w:t xml:space="preserve">. </w:t>
      </w:r>
      <w:r w:rsidR="00125561">
        <w:rPr>
          <w:rFonts w:cs="Arial"/>
          <w:color w:val="auto"/>
          <w:lang w:eastAsia="en-US"/>
        </w:rPr>
        <w:t xml:space="preserve"> The Council’s target average interest rate return is 0.6% above base rate which is </w:t>
      </w:r>
      <w:r w:rsidR="00810290">
        <w:rPr>
          <w:rFonts w:cs="Arial"/>
          <w:color w:val="auto"/>
          <w:lang w:eastAsia="en-US"/>
        </w:rPr>
        <w:t xml:space="preserve">estimated at </w:t>
      </w:r>
      <w:r w:rsidR="00125561">
        <w:rPr>
          <w:rFonts w:cs="Arial"/>
          <w:color w:val="auto"/>
          <w:lang w:eastAsia="en-US"/>
        </w:rPr>
        <w:t>1.1% for 2018/19.</w:t>
      </w:r>
    </w:p>
    <w:p w:rsidR="000A41E7" w:rsidRPr="000A41E7" w:rsidRDefault="000A41E7" w:rsidP="000A41E7">
      <w:pPr>
        <w:spacing w:after="0"/>
        <w:ind w:left="360"/>
        <w:contextualSpacing/>
        <w:rPr>
          <w:rFonts w:cs="Arial"/>
          <w:color w:val="auto"/>
          <w:lang w:eastAsia="en-US"/>
        </w:rPr>
      </w:pPr>
    </w:p>
    <w:p w:rsidR="00D71D8D" w:rsidRDefault="0062055D" w:rsidP="00D71D8D">
      <w:pPr>
        <w:numPr>
          <w:ilvl w:val="0"/>
          <w:numId w:val="34"/>
        </w:numPr>
        <w:spacing w:after="0"/>
        <w:contextualSpacing/>
        <w:rPr>
          <w:rFonts w:cs="Arial"/>
          <w:color w:val="auto"/>
          <w:lang w:eastAsia="en-US"/>
        </w:rPr>
      </w:pPr>
      <w:r w:rsidRPr="005D4197">
        <w:rPr>
          <w:rFonts w:cs="Arial"/>
          <w:color w:val="auto"/>
          <w:lang w:eastAsia="en-US"/>
        </w:rPr>
        <w:t>As with the previous financial year, m</w:t>
      </w:r>
      <w:r w:rsidR="00D71D8D" w:rsidRPr="005D4197">
        <w:rPr>
          <w:rFonts w:cs="Arial"/>
          <w:color w:val="auto"/>
          <w:lang w:eastAsia="en-US"/>
        </w:rPr>
        <w:t>ost existing investmen</w:t>
      </w:r>
      <w:r w:rsidRPr="005D4197">
        <w:rPr>
          <w:rFonts w:cs="Arial"/>
          <w:color w:val="auto"/>
          <w:lang w:eastAsia="en-US"/>
        </w:rPr>
        <w:t>t deal terms are for 6 months</w:t>
      </w:r>
      <w:r w:rsidR="005D4197" w:rsidRPr="005D4197">
        <w:rPr>
          <w:rFonts w:cs="Arial"/>
          <w:color w:val="auto"/>
          <w:lang w:eastAsia="en-US"/>
        </w:rPr>
        <w:t>. However, the Council does have some longer-term investments up to one year and durations of future loans are likely to increase in line with the criteria set out by the Council’s Treasury advisers</w:t>
      </w:r>
      <w:r w:rsidR="00D71D8D" w:rsidRPr="005D4197">
        <w:rPr>
          <w:rFonts w:cs="Arial"/>
          <w:color w:val="auto"/>
          <w:lang w:eastAsia="en-US"/>
        </w:rPr>
        <w:t xml:space="preserve">. </w:t>
      </w:r>
    </w:p>
    <w:p w:rsidR="00220389" w:rsidRDefault="00220389" w:rsidP="002B0E44">
      <w:pPr>
        <w:pStyle w:val="ListParagraph"/>
        <w:numPr>
          <w:ilvl w:val="0"/>
          <w:numId w:val="0"/>
        </w:numPr>
        <w:ind w:left="426"/>
        <w:rPr>
          <w:rFonts w:cs="Arial"/>
          <w:color w:val="auto"/>
          <w:lang w:eastAsia="en-US"/>
        </w:rPr>
      </w:pPr>
    </w:p>
    <w:p w:rsidR="00220389" w:rsidRDefault="00220389" w:rsidP="00220389">
      <w:pPr>
        <w:numPr>
          <w:ilvl w:val="0"/>
          <w:numId w:val="34"/>
        </w:numPr>
        <w:spacing w:after="0"/>
        <w:contextualSpacing/>
        <w:rPr>
          <w:rFonts w:cs="Arial"/>
          <w:color w:val="auto"/>
          <w:lang w:eastAsia="en-US"/>
        </w:rPr>
      </w:pPr>
      <w:r w:rsidRPr="00220389">
        <w:rPr>
          <w:rFonts w:cs="Arial"/>
          <w:color w:val="auto"/>
          <w:lang w:eastAsia="en-US"/>
        </w:rPr>
        <w:t>Investments are made in accordance with the Council’s Treasury Management Strategy such that returns are balanced against security of investment and liquidity of cash to ensure funding of day to day cash flows and yield.  Consequently, procedures are in place to determine the maximum periods that funds may be invested for, as well as the nature of those investments.  The Council works to achieve the optimum rate of return on its investments commensurate with proper levels of security and liquidity.</w:t>
      </w:r>
    </w:p>
    <w:p w:rsidR="005D4197" w:rsidRPr="005D4197" w:rsidRDefault="005D4197" w:rsidP="005D4197">
      <w:pPr>
        <w:spacing w:after="0"/>
        <w:ind w:left="360"/>
        <w:contextualSpacing/>
        <w:rPr>
          <w:rFonts w:cs="Arial"/>
          <w:color w:val="auto"/>
          <w:lang w:eastAsia="en-US"/>
        </w:rPr>
      </w:pPr>
    </w:p>
    <w:p w:rsidR="00D71D8D" w:rsidRPr="00D71D8D" w:rsidRDefault="00D71D8D" w:rsidP="00D71D8D">
      <w:pPr>
        <w:numPr>
          <w:ilvl w:val="0"/>
          <w:numId w:val="34"/>
        </w:numPr>
        <w:spacing w:after="0"/>
        <w:contextualSpacing/>
        <w:rPr>
          <w:rFonts w:cs="Arial"/>
          <w:color w:val="auto"/>
          <w:lang w:eastAsia="en-US"/>
        </w:rPr>
      </w:pPr>
      <w:r w:rsidRPr="00D71D8D">
        <w:rPr>
          <w:rFonts w:cs="Arial"/>
          <w:color w:val="auto"/>
          <w:lang w:eastAsia="en-US"/>
        </w:rPr>
        <w:t xml:space="preserve">Investment instruments identified for use are listed in Appendix 1 under the </w:t>
      </w:r>
      <w:r w:rsidR="00F20597">
        <w:rPr>
          <w:rFonts w:cs="Arial"/>
          <w:color w:val="auto"/>
          <w:lang w:eastAsia="en-US"/>
        </w:rPr>
        <w:t>S</w:t>
      </w:r>
      <w:r w:rsidRPr="00D71D8D">
        <w:rPr>
          <w:rFonts w:cs="Arial"/>
          <w:color w:val="auto"/>
          <w:lang w:eastAsia="en-US"/>
        </w:rPr>
        <w:t xml:space="preserve">pecified and </w:t>
      </w:r>
      <w:r w:rsidR="00F20597">
        <w:rPr>
          <w:rFonts w:cs="Arial"/>
          <w:color w:val="auto"/>
          <w:lang w:eastAsia="en-US"/>
        </w:rPr>
        <w:t>N</w:t>
      </w:r>
      <w:r w:rsidRPr="00D71D8D">
        <w:rPr>
          <w:rFonts w:cs="Arial"/>
          <w:color w:val="auto"/>
          <w:lang w:eastAsia="en-US"/>
        </w:rPr>
        <w:t>on-specified investment categories.  Counterparty limits are set in accordance with the Council’s Treasury Management Practices (TMPs).</w:t>
      </w:r>
    </w:p>
    <w:p w:rsidR="00D71D8D" w:rsidRPr="00D71D8D" w:rsidRDefault="00D71D8D" w:rsidP="00D71D8D">
      <w:pPr>
        <w:spacing w:after="0"/>
        <w:ind w:left="720"/>
        <w:contextualSpacing/>
        <w:rPr>
          <w:rFonts w:cs="Arial"/>
          <w:color w:val="auto"/>
          <w:lang w:eastAsia="en-US"/>
        </w:rPr>
      </w:pPr>
    </w:p>
    <w:p w:rsidR="00D71D8D" w:rsidRPr="00D71D8D" w:rsidRDefault="00D71D8D" w:rsidP="00D71D8D">
      <w:pPr>
        <w:numPr>
          <w:ilvl w:val="0"/>
          <w:numId w:val="34"/>
        </w:numPr>
        <w:spacing w:after="0"/>
        <w:contextualSpacing/>
        <w:rPr>
          <w:rFonts w:cs="Arial"/>
          <w:color w:val="auto"/>
          <w:lang w:eastAsia="en-US"/>
        </w:rPr>
      </w:pPr>
      <w:r w:rsidRPr="00D71D8D">
        <w:rPr>
          <w:rFonts w:cs="Arial"/>
          <w:color w:val="auto"/>
          <w:lang w:eastAsia="en-US"/>
        </w:rPr>
        <w:t xml:space="preserve">The Council utilises the creditworthiness services provided by </w:t>
      </w:r>
      <w:r w:rsidR="005D4197">
        <w:rPr>
          <w:rFonts w:cs="Arial"/>
          <w:color w:val="auto"/>
          <w:lang w:eastAsia="en-US"/>
        </w:rPr>
        <w:t>Link</w:t>
      </w:r>
      <w:r w:rsidRPr="00D71D8D">
        <w:rPr>
          <w:rFonts w:cs="Arial"/>
          <w:color w:val="auto"/>
          <w:lang w:eastAsia="en-US"/>
        </w:rPr>
        <w:t xml:space="preserve"> Asset Services.  The model combines the credit ratings, credit watches and credit outlooks provided by the credit rating agencies - Fitch, Moody’s and Standard and Poor’s in a </w:t>
      </w:r>
      <w:r w:rsidRPr="00D71D8D">
        <w:rPr>
          <w:rFonts w:cs="Arial"/>
          <w:color w:val="auto"/>
          <w:lang w:eastAsia="en-US"/>
        </w:rPr>
        <w:lastRenderedPageBreak/>
        <w:t>weighted scoring system which is then combined with an overlay of Credit Default Swap</w:t>
      </w:r>
      <w:r w:rsidRPr="00D71D8D">
        <w:rPr>
          <w:rFonts w:cs="Arial"/>
          <w:color w:val="auto"/>
          <w:vertAlign w:val="superscript"/>
          <w:lang w:eastAsia="en-US"/>
        </w:rPr>
        <w:footnoteReference w:id="3"/>
      </w:r>
      <w:r w:rsidRPr="00D71D8D">
        <w:rPr>
          <w:rFonts w:cs="Arial"/>
          <w:color w:val="auto"/>
          <w:lang w:eastAsia="en-US"/>
        </w:rPr>
        <w:t xml:space="preserve"> (CDS) spreads and sovereign ratings</w:t>
      </w:r>
      <w:r w:rsidR="001250F2">
        <w:rPr>
          <w:rFonts w:cs="Arial"/>
          <w:color w:val="auto"/>
          <w:lang w:eastAsia="en-US"/>
        </w:rPr>
        <w:t>.  T</w:t>
      </w:r>
      <w:r w:rsidRPr="00D71D8D">
        <w:rPr>
          <w:rFonts w:cs="Arial"/>
          <w:color w:val="auto"/>
          <w:lang w:eastAsia="en-US"/>
        </w:rPr>
        <w:t xml:space="preserve">he end product is a series of colour coded bands which indicate the relative creditworthiness of counterparties.  These colour codes are used by the Council to determine the duration of investments.  </w:t>
      </w:r>
    </w:p>
    <w:p w:rsidR="00D71D8D" w:rsidRPr="00D71D8D" w:rsidRDefault="00D71D8D" w:rsidP="00D71D8D">
      <w:pPr>
        <w:spacing w:after="0"/>
        <w:rPr>
          <w:rFonts w:cs="Arial"/>
          <w:color w:val="auto"/>
          <w:lang w:eastAsia="en-US"/>
        </w:rPr>
      </w:pPr>
    </w:p>
    <w:p w:rsidR="00D71D8D" w:rsidRPr="00D71D8D" w:rsidRDefault="00D71D8D" w:rsidP="00BB74A3">
      <w:pPr>
        <w:numPr>
          <w:ilvl w:val="0"/>
          <w:numId w:val="34"/>
        </w:numPr>
        <w:spacing w:after="0"/>
        <w:contextualSpacing/>
        <w:rPr>
          <w:rFonts w:cs="Arial"/>
          <w:color w:val="auto"/>
          <w:lang w:eastAsia="en-US"/>
        </w:rPr>
      </w:pPr>
      <w:r w:rsidRPr="00D71D8D">
        <w:rPr>
          <w:rFonts w:cs="Arial"/>
          <w:color w:val="auto"/>
          <w:lang w:eastAsia="en-US"/>
        </w:rPr>
        <w:t xml:space="preserve">The Council is alerted to changes to ratings  by </w:t>
      </w:r>
      <w:r w:rsidR="00BB74A3" w:rsidRPr="00BB74A3">
        <w:rPr>
          <w:rFonts w:cs="Arial"/>
          <w:color w:val="auto"/>
          <w:lang w:eastAsia="en-US"/>
        </w:rPr>
        <w:t>Link Asset Services</w:t>
      </w:r>
      <w:r w:rsidRPr="00D71D8D">
        <w:rPr>
          <w:rFonts w:cs="Arial"/>
          <w:color w:val="auto"/>
          <w:lang w:eastAsia="en-US"/>
        </w:rPr>
        <w:t>’ creditworthiness service and takes the following action in respect of update</w:t>
      </w:r>
      <w:r w:rsidR="001250F2">
        <w:rPr>
          <w:rFonts w:cs="Arial"/>
          <w:color w:val="auto"/>
          <w:lang w:eastAsia="en-US"/>
        </w:rPr>
        <w:t>s</w:t>
      </w:r>
      <w:r w:rsidRPr="00D71D8D">
        <w:rPr>
          <w:rFonts w:cs="Arial"/>
          <w:color w:val="auto"/>
          <w:lang w:eastAsia="en-US"/>
        </w:rPr>
        <w:t>:</w:t>
      </w:r>
    </w:p>
    <w:p w:rsidR="00D71D8D" w:rsidRPr="00D71D8D" w:rsidRDefault="00D71D8D" w:rsidP="00D71D8D">
      <w:pPr>
        <w:numPr>
          <w:ilvl w:val="0"/>
          <w:numId w:val="36"/>
        </w:numPr>
        <w:spacing w:after="0"/>
        <w:contextualSpacing/>
        <w:rPr>
          <w:rFonts w:cs="Arial"/>
          <w:color w:val="auto"/>
          <w:lang w:eastAsia="en-US"/>
        </w:rPr>
      </w:pPr>
      <w:r w:rsidRPr="00D71D8D">
        <w:rPr>
          <w:rFonts w:cs="Arial"/>
          <w:color w:val="auto"/>
          <w:lang w:eastAsia="en-US"/>
        </w:rPr>
        <w:t>If a downgrade results in the counterparty/investment scheme no longer meeting the Council’s minimum criteria, it is withdrawn immediately from further use</w:t>
      </w:r>
      <w:r w:rsidR="001250F2">
        <w:rPr>
          <w:rFonts w:cs="Arial"/>
          <w:color w:val="auto"/>
          <w:lang w:eastAsia="en-US"/>
        </w:rPr>
        <w:t>.</w:t>
      </w:r>
    </w:p>
    <w:p w:rsidR="00D71D8D" w:rsidRPr="00D71D8D" w:rsidRDefault="00D71D8D" w:rsidP="00D71D8D">
      <w:pPr>
        <w:numPr>
          <w:ilvl w:val="0"/>
          <w:numId w:val="36"/>
        </w:numPr>
        <w:spacing w:after="0"/>
        <w:contextualSpacing/>
        <w:rPr>
          <w:rFonts w:cs="Arial"/>
          <w:color w:val="auto"/>
          <w:lang w:eastAsia="en-US"/>
        </w:rPr>
      </w:pPr>
      <w:r w:rsidRPr="00D71D8D">
        <w:rPr>
          <w:rFonts w:cs="Arial"/>
          <w:color w:val="auto"/>
          <w:lang w:eastAsia="en-US"/>
        </w:rPr>
        <w:t>If a counterparty’s credit rating is placed on negative watch or negative outlook, officers carry out a review to determine whether the institution is still worthy of inclusion on the counterparty list.  If there is any doubt, the counterparty is temporarily suspended pending the credit rating agency’s full review.</w:t>
      </w:r>
    </w:p>
    <w:p w:rsidR="00D71D8D" w:rsidRPr="00D71D8D" w:rsidRDefault="00D71D8D" w:rsidP="00D71D8D">
      <w:pPr>
        <w:spacing w:after="0"/>
        <w:ind w:left="720"/>
        <w:contextualSpacing/>
        <w:rPr>
          <w:rFonts w:cs="Arial"/>
          <w:color w:val="auto"/>
          <w:lang w:eastAsia="en-US"/>
        </w:rPr>
      </w:pPr>
    </w:p>
    <w:p w:rsidR="00D71D8D" w:rsidRPr="00D71D8D" w:rsidRDefault="00D71D8D" w:rsidP="00D71D8D">
      <w:pPr>
        <w:numPr>
          <w:ilvl w:val="0"/>
          <w:numId w:val="34"/>
        </w:numPr>
        <w:spacing w:after="0"/>
        <w:contextualSpacing/>
        <w:rPr>
          <w:rFonts w:cs="Arial"/>
          <w:color w:val="auto"/>
          <w:lang w:eastAsia="en-US"/>
        </w:rPr>
      </w:pPr>
      <w:r w:rsidRPr="00D71D8D">
        <w:rPr>
          <w:rFonts w:cs="Arial"/>
          <w:color w:val="auto"/>
          <w:lang w:eastAsia="en-US"/>
        </w:rPr>
        <w:t>As part of the creditworthiness methodology a minimum sovereign rating of AA- from Fitch (or equivalent from other agencies if Fitch does not provide</w:t>
      </w:r>
      <w:r w:rsidR="00BB74A3">
        <w:rPr>
          <w:rFonts w:cs="Arial"/>
          <w:color w:val="auto"/>
          <w:lang w:eastAsia="en-US"/>
        </w:rPr>
        <w:t xml:space="preserve"> one) has been determined.</w:t>
      </w:r>
    </w:p>
    <w:p w:rsidR="00D71D8D" w:rsidRPr="00D71D8D" w:rsidRDefault="00D71D8D" w:rsidP="00D71D8D">
      <w:pPr>
        <w:spacing w:after="0"/>
        <w:ind w:left="720"/>
        <w:contextualSpacing/>
        <w:rPr>
          <w:rFonts w:cs="Arial"/>
          <w:color w:val="auto"/>
          <w:lang w:eastAsia="en-US"/>
        </w:rPr>
      </w:pPr>
    </w:p>
    <w:p w:rsidR="00D71D8D" w:rsidRPr="00D71D8D" w:rsidRDefault="00D71D8D" w:rsidP="00D71D8D">
      <w:pPr>
        <w:numPr>
          <w:ilvl w:val="0"/>
          <w:numId w:val="34"/>
        </w:numPr>
        <w:spacing w:after="0"/>
        <w:contextualSpacing/>
        <w:rPr>
          <w:rFonts w:cs="Arial"/>
          <w:color w:val="auto"/>
          <w:lang w:eastAsia="en-US"/>
        </w:rPr>
      </w:pPr>
      <w:r w:rsidRPr="00D71D8D">
        <w:rPr>
          <w:rFonts w:cs="Arial"/>
          <w:color w:val="auto"/>
          <w:lang w:eastAsia="en-US"/>
        </w:rPr>
        <w:t xml:space="preserve">In addition to the recommendations from </w:t>
      </w:r>
      <w:r w:rsidR="005D4197">
        <w:rPr>
          <w:rFonts w:cs="Arial"/>
          <w:color w:val="auto"/>
          <w:lang w:eastAsia="en-US"/>
        </w:rPr>
        <w:t>Link</w:t>
      </w:r>
      <w:r w:rsidRPr="00D71D8D">
        <w:rPr>
          <w:rFonts w:cs="Arial"/>
          <w:color w:val="auto"/>
          <w:lang w:eastAsia="en-US"/>
        </w:rPr>
        <w:t xml:space="preserve"> Asset Services, the S151 Officer and Treasury Management Team have agreed to limit the amounts invested with any one country (excluding the UK) or sector as follows:</w:t>
      </w:r>
    </w:p>
    <w:p w:rsidR="00D71D8D" w:rsidRPr="00D71D8D" w:rsidRDefault="00D71D8D" w:rsidP="00D71D8D">
      <w:pPr>
        <w:numPr>
          <w:ilvl w:val="0"/>
          <w:numId w:val="39"/>
        </w:numPr>
        <w:spacing w:after="0"/>
        <w:ind w:left="1418"/>
        <w:contextualSpacing/>
        <w:rPr>
          <w:rFonts w:cs="Arial"/>
          <w:color w:val="auto"/>
          <w:lang w:eastAsia="en-US"/>
        </w:rPr>
      </w:pPr>
      <w:r w:rsidRPr="00D71D8D">
        <w:rPr>
          <w:rFonts w:cs="Arial"/>
          <w:color w:val="auto"/>
          <w:lang w:eastAsia="en-US"/>
        </w:rPr>
        <w:t xml:space="preserve">No more than 20% of the previous year’s average investment balance </w:t>
      </w:r>
      <w:r w:rsidR="00BB74A3">
        <w:rPr>
          <w:rFonts w:cs="Arial"/>
          <w:color w:val="auto"/>
          <w:lang w:eastAsia="en-US"/>
        </w:rPr>
        <w:t>(to 31</w:t>
      </w:r>
      <w:r w:rsidR="00BB74A3" w:rsidRPr="00BB74A3">
        <w:rPr>
          <w:rFonts w:cs="Arial"/>
          <w:color w:val="auto"/>
          <w:vertAlign w:val="superscript"/>
          <w:lang w:eastAsia="en-US"/>
        </w:rPr>
        <w:t>st</w:t>
      </w:r>
      <w:r w:rsidR="00BB74A3">
        <w:rPr>
          <w:rFonts w:cs="Arial"/>
          <w:color w:val="auto"/>
          <w:lang w:eastAsia="en-US"/>
        </w:rPr>
        <w:t xml:space="preserve"> December) </w:t>
      </w:r>
      <w:r w:rsidRPr="00D71D8D">
        <w:rPr>
          <w:rFonts w:cs="Arial"/>
          <w:color w:val="auto"/>
          <w:lang w:eastAsia="en-US"/>
        </w:rPr>
        <w:t>with any one counterparty or group or £15</w:t>
      </w:r>
      <w:r w:rsidR="00BB74A3">
        <w:rPr>
          <w:rFonts w:cs="Arial"/>
          <w:color w:val="auto"/>
          <w:lang w:eastAsia="en-US"/>
        </w:rPr>
        <w:t xml:space="preserve"> </w:t>
      </w:r>
      <w:r w:rsidRPr="00D71D8D">
        <w:rPr>
          <w:rFonts w:cs="Arial"/>
          <w:color w:val="auto"/>
          <w:lang w:eastAsia="en-US"/>
        </w:rPr>
        <w:t>m</w:t>
      </w:r>
      <w:r w:rsidR="00BB74A3">
        <w:rPr>
          <w:rFonts w:cs="Arial"/>
          <w:color w:val="auto"/>
          <w:lang w:eastAsia="en-US"/>
        </w:rPr>
        <w:t>illion</w:t>
      </w:r>
      <w:r w:rsidRPr="00D71D8D">
        <w:rPr>
          <w:rFonts w:cs="Arial"/>
          <w:color w:val="auto"/>
          <w:lang w:eastAsia="en-US"/>
        </w:rPr>
        <w:t>, whichever is the greater</w:t>
      </w:r>
    </w:p>
    <w:p w:rsidR="00D71D8D" w:rsidRPr="00D71D8D" w:rsidRDefault="00D71D8D" w:rsidP="00D71D8D">
      <w:pPr>
        <w:numPr>
          <w:ilvl w:val="0"/>
          <w:numId w:val="39"/>
        </w:numPr>
        <w:spacing w:after="0"/>
        <w:ind w:left="1418"/>
        <w:contextualSpacing/>
        <w:rPr>
          <w:rFonts w:cs="Arial"/>
          <w:color w:val="auto"/>
          <w:lang w:eastAsia="en-US"/>
        </w:rPr>
      </w:pPr>
      <w:r w:rsidRPr="00D71D8D">
        <w:rPr>
          <w:rFonts w:cs="Arial"/>
          <w:color w:val="auto"/>
          <w:lang w:eastAsia="en-US"/>
        </w:rPr>
        <w:t>Maximum of 10% of total investments to be with institutions in other countries that meet the required criteria.</w:t>
      </w:r>
    </w:p>
    <w:p w:rsidR="00D71D8D" w:rsidRPr="00D71D8D" w:rsidRDefault="00D71D8D" w:rsidP="00D71D8D">
      <w:pPr>
        <w:spacing w:after="0"/>
        <w:ind w:left="720"/>
        <w:contextualSpacing/>
        <w:rPr>
          <w:rFonts w:cs="Arial"/>
          <w:color w:val="auto"/>
          <w:lang w:eastAsia="en-US"/>
        </w:rPr>
      </w:pPr>
    </w:p>
    <w:p w:rsidR="00D71D8D" w:rsidRPr="00D71D8D" w:rsidRDefault="00D71D8D" w:rsidP="00D71D8D">
      <w:pPr>
        <w:numPr>
          <w:ilvl w:val="0"/>
          <w:numId w:val="34"/>
        </w:numPr>
        <w:spacing w:after="0"/>
        <w:contextualSpacing/>
        <w:rPr>
          <w:rFonts w:cs="Arial"/>
          <w:color w:val="auto"/>
          <w:lang w:eastAsia="en-US"/>
        </w:rPr>
      </w:pPr>
      <w:r w:rsidRPr="00D71D8D">
        <w:rPr>
          <w:rFonts w:cs="Arial"/>
          <w:color w:val="auto"/>
          <w:lang w:eastAsia="en-US"/>
        </w:rPr>
        <w:t>To ensure that the Strategy is not breached and to also be aware of any new opportunities, the Council’s counterparty list is reviewed on a daily basis taking into account market information and changes to the methodology used.  The list is maintained by the Treasury Management Team, and reported to the S151 Officer on a regular basis.</w:t>
      </w:r>
    </w:p>
    <w:p w:rsidR="00D71D8D" w:rsidRPr="00D71D8D" w:rsidRDefault="00D71D8D" w:rsidP="00D71D8D">
      <w:pPr>
        <w:spacing w:after="0"/>
        <w:ind w:left="720"/>
        <w:contextualSpacing/>
        <w:rPr>
          <w:rFonts w:cs="Arial"/>
          <w:color w:val="auto"/>
          <w:lang w:eastAsia="en-US"/>
        </w:rPr>
      </w:pPr>
    </w:p>
    <w:p w:rsidR="00D71D8D" w:rsidRPr="00D71D8D" w:rsidRDefault="00D71D8D" w:rsidP="00D71D8D">
      <w:pPr>
        <w:numPr>
          <w:ilvl w:val="0"/>
          <w:numId w:val="34"/>
        </w:numPr>
        <w:spacing w:after="0"/>
        <w:contextualSpacing/>
        <w:rPr>
          <w:rFonts w:cs="Arial"/>
          <w:color w:val="auto"/>
          <w:lang w:eastAsia="en-US"/>
        </w:rPr>
      </w:pPr>
      <w:r w:rsidRPr="00D71D8D">
        <w:rPr>
          <w:rFonts w:cs="Arial"/>
          <w:color w:val="auto"/>
          <w:lang w:eastAsia="en-US"/>
        </w:rPr>
        <w:t xml:space="preserve">The Investment Strategy provides delegated authority for the S151 Officer to determine the most appropriate form of investment dependant on prevailing interest rates and </w:t>
      </w:r>
      <w:proofErr w:type="gramStart"/>
      <w:r w:rsidRPr="00D71D8D">
        <w:rPr>
          <w:rFonts w:cs="Arial"/>
          <w:color w:val="auto"/>
          <w:lang w:eastAsia="en-US"/>
        </w:rPr>
        <w:t>counterparty</w:t>
      </w:r>
      <w:proofErr w:type="gramEnd"/>
      <w:r w:rsidRPr="00D71D8D">
        <w:rPr>
          <w:rFonts w:cs="Arial"/>
          <w:color w:val="auto"/>
          <w:lang w:eastAsia="en-US"/>
        </w:rPr>
        <w:t xml:space="preserve"> risk at the time.</w:t>
      </w:r>
    </w:p>
    <w:p w:rsidR="00D71D8D" w:rsidRPr="00010297" w:rsidRDefault="00D71D8D" w:rsidP="00010297">
      <w:pPr>
        <w:pStyle w:val="Heading1"/>
      </w:pPr>
      <w:r w:rsidRPr="00010297">
        <w:t>Specified and Non-Specified investments</w:t>
      </w:r>
    </w:p>
    <w:p w:rsidR="00D71D8D" w:rsidRPr="00D71D8D" w:rsidRDefault="00D71D8D" w:rsidP="00D71D8D">
      <w:pPr>
        <w:numPr>
          <w:ilvl w:val="0"/>
          <w:numId w:val="34"/>
        </w:numPr>
        <w:spacing w:after="0"/>
        <w:contextualSpacing/>
        <w:rPr>
          <w:rFonts w:cs="Arial"/>
          <w:color w:val="auto"/>
          <w:lang w:eastAsia="en-US"/>
        </w:rPr>
      </w:pPr>
      <w:r w:rsidRPr="00D71D8D">
        <w:rPr>
          <w:rFonts w:cs="Arial"/>
          <w:color w:val="auto"/>
          <w:lang w:eastAsia="en-US"/>
        </w:rPr>
        <w:t xml:space="preserve">In approving the Investment Strategy, Members are approving the types of investments the Council can undertake.  Investments are classified as either </w:t>
      </w:r>
      <w:r w:rsidR="001250F2">
        <w:rPr>
          <w:rFonts w:cs="Arial"/>
          <w:color w:val="auto"/>
          <w:lang w:eastAsia="en-US"/>
        </w:rPr>
        <w:t>S</w:t>
      </w:r>
      <w:r w:rsidRPr="00D71D8D">
        <w:rPr>
          <w:rFonts w:cs="Arial"/>
          <w:color w:val="auto"/>
          <w:lang w:eastAsia="en-US"/>
        </w:rPr>
        <w:t xml:space="preserve">pecified or </w:t>
      </w:r>
      <w:r w:rsidR="001250F2">
        <w:rPr>
          <w:rFonts w:cs="Arial"/>
          <w:color w:val="auto"/>
          <w:lang w:eastAsia="en-US"/>
        </w:rPr>
        <w:t>N</w:t>
      </w:r>
      <w:r w:rsidRPr="00D71D8D">
        <w:rPr>
          <w:rFonts w:cs="Arial"/>
          <w:color w:val="auto"/>
          <w:lang w:eastAsia="en-US"/>
        </w:rPr>
        <w:t>on-specified and are shown in more detail in Appendix 1.</w:t>
      </w:r>
    </w:p>
    <w:p w:rsidR="00D71D8D" w:rsidRPr="00D71D8D" w:rsidRDefault="00D71D8D" w:rsidP="00D71D8D">
      <w:pPr>
        <w:spacing w:after="0"/>
        <w:ind w:left="720"/>
        <w:contextualSpacing/>
        <w:rPr>
          <w:rFonts w:cs="Arial"/>
          <w:color w:val="auto"/>
          <w:lang w:eastAsia="en-US"/>
        </w:rPr>
      </w:pPr>
    </w:p>
    <w:p w:rsidR="00D71D8D" w:rsidRPr="00D71D8D" w:rsidRDefault="00BB74A3" w:rsidP="00D71D8D">
      <w:pPr>
        <w:numPr>
          <w:ilvl w:val="0"/>
          <w:numId w:val="34"/>
        </w:numPr>
        <w:spacing w:after="0"/>
        <w:contextualSpacing/>
        <w:rPr>
          <w:rFonts w:cs="Arial"/>
          <w:color w:val="auto"/>
          <w:lang w:eastAsia="en-US"/>
        </w:rPr>
      </w:pPr>
      <w:r>
        <w:rPr>
          <w:rFonts w:cs="Arial"/>
          <w:color w:val="auto"/>
          <w:lang w:eastAsia="en-US"/>
        </w:rPr>
        <w:t>T</w:t>
      </w:r>
      <w:r w:rsidR="00D71D8D" w:rsidRPr="00D71D8D">
        <w:rPr>
          <w:rFonts w:cs="Arial"/>
          <w:color w:val="auto"/>
          <w:lang w:eastAsia="en-US"/>
        </w:rPr>
        <w:t xml:space="preserve">he Strategy defines a </w:t>
      </w:r>
      <w:r w:rsidR="001250F2">
        <w:rPr>
          <w:rFonts w:cs="Arial"/>
          <w:color w:val="auto"/>
          <w:lang w:eastAsia="en-US"/>
        </w:rPr>
        <w:t>S</w:t>
      </w:r>
      <w:r w:rsidR="00D71D8D" w:rsidRPr="00D71D8D">
        <w:rPr>
          <w:rFonts w:cs="Arial"/>
          <w:color w:val="auto"/>
          <w:lang w:eastAsia="en-US"/>
        </w:rPr>
        <w:t xml:space="preserve">pecified </w:t>
      </w:r>
      <w:r w:rsidR="001250F2">
        <w:rPr>
          <w:rFonts w:cs="Arial"/>
          <w:color w:val="auto"/>
          <w:lang w:eastAsia="en-US"/>
        </w:rPr>
        <w:t>I</w:t>
      </w:r>
      <w:r w:rsidR="00D71D8D" w:rsidRPr="00D71D8D">
        <w:rPr>
          <w:rFonts w:cs="Arial"/>
          <w:color w:val="auto"/>
          <w:lang w:eastAsia="en-US"/>
        </w:rPr>
        <w:t xml:space="preserve">nvestment as one that is in sterling, no more than one year in duration or, if in excess of one year can be repaid earlier on request and with counterparties that meet the Council’s credit rating criteria.  Additionally, once </w:t>
      </w:r>
      <w:r w:rsidR="00D71D8D" w:rsidRPr="00D71D8D">
        <w:rPr>
          <w:rFonts w:cs="Arial"/>
          <w:color w:val="auto"/>
          <w:lang w:eastAsia="en-US"/>
        </w:rPr>
        <w:lastRenderedPageBreak/>
        <w:t xml:space="preserve">the duration of a </w:t>
      </w:r>
      <w:r w:rsidR="001250F2">
        <w:rPr>
          <w:rFonts w:cs="Arial"/>
          <w:color w:val="auto"/>
          <w:lang w:eastAsia="en-US"/>
        </w:rPr>
        <w:t>N</w:t>
      </w:r>
      <w:r w:rsidR="00D71D8D" w:rsidRPr="00D71D8D">
        <w:rPr>
          <w:rFonts w:cs="Arial"/>
          <w:color w:val="auto"/>
          <w:lang w:eastAsia="en-US"/>
        </w:rPr>
        <w:t xml:space="preserve">on-specified </w:t>
      </w:r>
      <w:r w:rsidR="001250F2">
        <w:rPr>
          <w:rFonts w:cs="Arial"/>
          <w:color w:val="auto"/>
          <w:lang w:eastAsia="en-US"/>
        </w:rPr>
        <w:t>I</w:t>
      </w:r>
      <w:r w:rsidR="00D71D8D" w:rsidRPr="00D71D8D">
        <w:rPr>
          <w:rFonts w:cs="Arial"/>
          <w:color w:val="auto"/>
          <w:lang w:eastAsia="en-US"/>
        </w:rPr>
        <w:t>nvestment falls below 36</w:t>
      </w:r>
      <w:r>
        <w:rPr>
          <w:rFonts w:cs="Arial"/>
          <w:color w:val="auto"/>
          <w:lang w:eastAsia="en-US"/>
        </w:rPr>
        <w:t>6</w:t>
      </w:r>
      <w:r w:rsidR="00D71D8D" w:rsidRPr="00D71D8D">
        <w:rPr>
          <w:rFonts w:cs="Arial"/>
          <w:color w:val="auto"/>
          <w:lang w:eastAsia="en-US"/>
        </w:rPr>
        <w:t xml:space="preserve"> days, it also falls into the </w:t>
      </w:r>
      <w:r w:rsidR="001250F2">
        <w:rPr>
          <w:rFonts w:cs="Arial"/>
          <w:color w:val="auto"/>
          <w:lang w:eastAsia="en-US"/>
        </w:rPr>
        <w:t>S</w:t>
      </w:r>
      <w:r w:rsidR="00D71D8D" w:rsidRPr="00D71D8D">
        <w:rPr>
          <w:rFonts w:cs="Arial"/>
          <w:color w:val="auto"/>
          <w:lang w:eastAsia="en-US"/>
        </w:rPr>
        <w:t xml:space="preserve">pecified category. </w:t>
      </w:r>
    </w:p>
    <w:p w:rsidR="00D71D8D" w:rsidRPr="00D71D8D" w:rsidRDefault="00D71D8D" w:rsidP="00D71D8D">
      <w:pPr>
        <w:spacing w:after="0"/>
        <w:ind w:left="720"/>
        <w:contextualSpacing/>
        <w:rPr>
          <w:rFonts w:cs="Arial"/>
          <w:color w:val="auto"/>
          <w:lang w:eastAsia="en-US"/>
        </w:rPr>
      </w:pPr>
    </w:p>
    <w:p w:rsidR="00D71D8D" w:rsidRPr="00D71D8D" w:rsidRDefault="00D71D8D" w:rsidP="00D71D8D">
      <w:pPr>
        <w:numPr>
          <w:ilvl w:val="0"/>
          <w:numId w:val="34"/>
        </w:numPr>
        <w:spacing w:after="0"/>
        <w:contextualSpacing/>
        <w:rPr>
          <w:rFonts w:cs="Arial"/>
          <w:color w:val="auto"/>
          <w:lang w:eastAsia="en-US"/>
        </w:rPr>
      </w:pPr>
      <w:r w:rsidRPr="00D71D8D">
        <w:rPr>
          <w:rFonts w:cs="Arial"/>
          <w:color w:val="auto"/>
          <w:lang w:eastAsia="en-US"/>
        </w:rPr>
        <w:t xml:space="preserve">Non-specified investments are any other type of investment including property funds.  Whilst generally these investments will earn a higher rate of return they are inherently more risky in nature and </w:t>
      </w:r>
      <w:r w:rsidR="00DC70EE">
        <w:rPr>
          <w:rFonts w:cs="Arial"/>
          <w:color w:val="auto"/>
          <w:lang w:eastAsia="en-US"/>
        </w:rPr>
        <w:t>therefore limited to either a</w:t>
      </w:r>
      <w:r w:rsidRPr="00D71D8D">
        <w:rPr>
          <w:rFonts w:cs="Arial"/>
          <w:color w:val="auto"/>
          <w:lang w:eastAsia="en-US"/>
        </w:rPr>
        <w:t xml:space="preserve"> maximum of 25% </w:t>
      </w:r>
      <w:r w:rsidR="00BB74A3">
        <w:rPr>
          <w:rFonts w:cs="Arial"/>
          <w:color w:val="auto"/>
          <w:lang w:eastAsia="en-US"/>
        </w:rPr>
        <w:t xml:space="preserve">(currently £23.4 million) </w:t>
      </w:r>
      <w:r w:rsidRPr="00D71D8D">
        <w:rPr>
          <w:rFonts w:cs="Arial"/>
          <w:color w:val="auto"/>
          <w:lang w:eastAsia="en-US"/>
        </w:rPr>
        <w:t xml:space="preserve">of the previous </w:t>
      </w:r>
      <w:r w:rsidR="00BB74A3">
        <w:rPr>
          <w:rFonts w:cs="Arial"/>
          <w:color w:val="auto"/>
          <w:lang w:eastAsia="en-US"/>
        </w:rPr>
        <w:t xml:space="preserve">full </w:t>
      </w:r>
      <w:r w:rsidRPr="00D71D8D">
        <w:rPr>
          <w:rFonts w:cs="Arial"/>
          <w:color w:val="auto"/>
          <w:lang w:eastAsia="en-US"/>
        </w:rPr>
        <w:t>year’s average monthly investment balance</w:t>
      </w:r>
      <w:r w:rsidR="00BB74A3">
        <w:rPr>
          <w:rFonts w:cs="Arial"/>
          <w:color w:val="auto"/>
          <w:lang w:eastAsia="en-US"/>
        </w:rPr>
        <w:t xml:space="preserve"> to 31</w:t>
      </w:r>
      <w:r w:rsidR="00BB74A3" w:rsidRPr="00BB74A3">
        <w:rPr>
          <w:rFonts w:cs="Arial"/>
          <w:color w:val="auto"/>
          <w:vertAlign w:val="superscript"/>
          <w:lang w:eastAsia="en-US"/>
        </w:rPr>
        <w:t>st</w:t>
      </w:r>
      <w:r w:rsidR="00BB74A3">
        <w:rPr>
          <w:rFonts w:cs="Arial"/>
          <w:color w:val="auto"/>
          <w:lang w:eastAsia="en-US"/>
        </w:rPr>
        <w:t xml:space="preserve"> December</w:t>
      </w:r>
      <w:r w:rsidR="00DC70EE">
        <w:rPr>
          <w:rFonts w:cs="Arial"/>
          <w:color w:val="auto"/>
          <w:lang w:eastAsia="en-US"/>
        </w:rPr>
        <w:t>,</w:t>
      </w:r>
      <w:r w:rsidRPr="00D71D8D">
        <w:rPr>
          <w:rFonts w:cs="Arial"/>
          <w:color w:val="auto"/>
          <w:lang w:eastAsia="en-US"/>
        </w:rPr>
        <w:t xml:space="preserve"> or £</w:t>
      </w:r>
      <w:r w:rsidR="00BB74A3">
        <w:rPr>
          <w:rFonts w:cs="Arial"/>
          <w:color w:val="auto"/>
          <w:lang w:eastAsia="en-US"/>
        </w:rPr>
        <w:t>24</w:t>
      </w:r>
      <w:r w:rsidRPr="00D71D8D">
        <w:rPr>
          <w:rFonts w:cs="Arial"/>
          <w:color w:val="auto"/>
          <w:lang w:eastAsia="en-US"/>
        </w:rPr>
        <w:t xml:space="preserve"> million, whichever is </w:t>
      </w:r>
      <w:r w:rsidR="00046C9C">
        <w:rPr>
          <w:rFonts w:cs="Arial"/>
          <w:color w:val="auto"/>
          <w:lang w:eastAsia="en-US"/>
        </w:rPr>
        <w:t xml:space="preserve">the </w:t>
      </w:r>
      <w:proofErr w:type="gramStart"/>
      <w:r w:rsidRPr="00D71D8D">
        <w:rPr>
          <w:rFonts w:cs="Arial"/>
          <w:color w:val="auto"/>
          <w:lang w:eastAsia="en-US"/>
        </w:rPr>
        <w:t>greater</w:t>
      </w:r>
      <w:r w:rsidR="00BB74A3">
        <w:rPr>
          <w:rFonts w:cs="Arial"/>
          <w:color w:val="auto"/>
          <w:lang w:eastAsia="en-US"/>
        </w:rPr>
        <w:t>.</w:t>
      </w:r>
      <w:proofErr w:type="gramEnd"/>
    </w:p>
    <w:p w:rsidR="00D71D8D" w:rsidRPr="00D71D8D" w:rsidRDefault="00D71D8D" w:rsidP="00D71D8D">
      <w:pPr>
        <w:spacing w:after="0"/>
        <w:ind w:left="720"/>
        <w:contextualSpacing/>
        <w:rPr>
          <w:rFonts w:cs="Arial"/>
          <w:color w:val="auto"/>
          <w:lang w:eastAsia="en-US"/>
        </w:rPr>
      </w:pPr>
    </w:p>
    <w:p w:rsidR="00D71D8D" w:rsidRPr="00D71D8D" w:rsidRDefault="00D71D8D" w:rsidP="00D71D8D">
      <w:pPr>
        <w:numPr>
          <w:ilvl w:val="0"/>
          <w:numId w:val="34"/>
        </w:numPr>
        <w:spacing w:after="0"/>
        <w:contextualSpacing/>
        <w:rPr>
          <w:rFonts w:cs="Arial"/>
          <w:color w:val="auto"/>
          <w:lang w:eastAsia="en-US"/>
        </w:rPr>
      </w:pPr>
      <w:r w:rsidRPr="00D71D8D">
        <w:rPr>
          <w:rFonts w:cs="Arial"/>
          <w:color w:val="auto"/>
          <w:lang w:eastAsia="en-US"/>
        </w:rPr>
        <w:t xml:space="preserve">Investments may be arranged in advance and there has been a significant rise in “forward deals” in recent times. Trades arranged up to four weeks in advance of the start date </w:t>
      </w:r>
      <w:r w:rsidR="00F20597">
        <w:rPr>
          <w:rFonts w:cs="Arial"/>
          <w:color w:val="auto"/>
          <w:lang w:eastAsia="en-US"/>
        </w:rPr>
        <w:t>are</w:t>
      </w:r>
      <w:r w:rsidRPr="00D71D8D">
        <w:rPr>
          <w:rFonts w:cs="Arial"/>
          <w:color w:val="auto"/>
          <w:lang w:eastAsia="en-US"/>
        </w:rPr>
        <w:t xml:space="preserve"> still classified as </w:t>
      </w:r>
      <w:r w:rsidR="001250F2">
        <w:rPr>
          <w:rFonts w:cs="Arial"/>
          <w:color w:val="auto"/>
          <w:lang w:eastAsia="en-US"/>
        </w:rPr>
        <w:t>S</w:t>
      </w:r>
      <w:r w:rsidRPr="00D71D8D">
        <w:rPr>
          <w:rFonts w:cs="Arial"/>
          <w:color w:val="auto"/>
          <w:lang w:eastAsia="en-US"/>
        </w:rPr>
        <w:t xml:space="preserve">pecified </w:t>
      </w:r>
      <w:r w:rsidR="001250F2">
        <w:rPr>
          <w:rFonts w:cs="Arial"/>
          <w:color w:val="auto"/>
          <w:lang w:eastAsia="en-US"/>
        </w:rPr>
        <w:t>I</w:t>
      </w:r>
      <w:r w:rsidRPr="00D71D8D">
        <w:rPr>
          <w:rFonts w:cs="Arial"/>
          <w:color w:val="auto"/>
          <w:lang w:eastAsia="en-US"/>
        </w:rPr>
        <w:t xml:space="preserve">nvestments provided the duration of the investment from the start date to the maturity </w:t>
      </w:r>
      <w:r w:rsidR="001250F2">
        <w:rPr>
          <w:rFonts w:cs="Arial"/>
          <w:color w:val="auto"/>
          <w:lang w:eastAsia="en-US"/>
        </w:rPr>
        <w:t>is</w:t>
      </w:r>
      <w:r w:rsidRPr="00D71D8D">
        <w:rPr>
          <w:rFonts w:cs="Arial"/>
          <w:color w:val="auto"/>
          <w:lang w:eastAsia="en-US"/>
        </w:rPr>
        <w:t xml:space="preserve"> no longer than 36</w:t>
      </w:r>
      <w:r w:rsidR="00BB74A3">
        <w:rPr>
          <w:rFonts w:cs="Arial"/>
          <w:color w:val="auto"/>
          <w:lang w:eastAsia="en-US"/>
        </w:rPr>
        <w:t>5</w:t>
      </w:r>
      <w:r w:rsidRPr="00D71D8D">
        <w:rPr>
          <w:rFonts w:cs="Arial"/>
          <w:color w:val="auto"/>
          <w:lang w:eastAsia="en-US"/>
        </w:rPr>
        <w:t xml:space="preserve"> days. Trade dates are factored into the duration of the investment if arranged</w:t>
      </w:r>
      <w:r w:rsidR="001250F2">
        <w:rPr>
          <w:rFonts w:cs="Arial"/>
          <w:color w:val="auto"/>
          <w:lang w:eastAsia="en-US"/>
        </w:rPr>
        <w:t xml:space="preserve"> more than four weeks</w:t>
      </w:r>
      <w:r w:rsidRPr="00D71D8D">
        <w:rPr>
          <w:rFonts w:cs="Arial"/>
          <w:color w:val="auto"/>
          <w:lang w:eastAsia="en-US"/>
        </w:rPr>
        <w:t xml:space="preserve"> in advance because there is an increased risk due to funds being contractually committed.</w:t>
      </w:r>
    </w:p>
    <w:p w:rsidR="00D71D8D" w:rsidRPr="00010297" w:rsidRDefault="00D71D8D" w:rsidP="00010297">
      <w:pPr>
        <w:pStyle w:val="Heading1"/>
      </w:pPr>
      <w:r w:rsidRPr="00010297">
        <w:t>Loans to companies in which the Council has an interest</w:t>
      </w:r>
    </w:p>
    <w:p w:rsidR="00D71D8D" w:rsidRDefault="00D71D8D" w:rsidP="00D71D8D">
      <w:pPr>
        <w:numPr>
          <w:ilvl w:val="0"/>
          <w:numId w:val="34"/>
        </w:numPr>
        <w:spacing w:after="0"/>
        <w:contextualSpacing/>
        <w:rPr>
          <w:rFonts w:cs="Arial"/>
          <w:color w:val="auto"/>
          <w:lang w:eastAsia="en-US"/>
        </w:rPr>
      </w:pPr>
      <w:r w:rsidRPr="00D71D8D">
        <w:rPr>
          <w:rFonts w:cs="Arial"/>
          <w:color w:val="auto"/>
          <w:lang w:eastAsia="en-US"/>
        </w:rPr>
        <w:t>A</w:t>
      </w:r>
      <w:r w:rsidR="001250F2">
        <w:rPr>
          <w:rFonts w:cs="Arial"/>
          <w:color w:val="auto"/>
          <w:lang w:eastAsia="en-US"/>
        </w:rPr>
        <w:t>ny</w:t>
      </w:r>
      <w:r w:rsidRPr="00D71D8D">
        <w:rPr>
          <w:rFonts w:cs="Arial"/>
          <w:color w:val="auto"/>
          <w:lang w:eastAsia="en-US"/>
        </w:rPr>
        <w:t xml:space="preserve"> loan for capital purposes to a company in which the Council has an interest </w:t>
      </w:r>
      <w:r w:rsidR="001250F2">
        <w:rPr>
          <w:rFonts w:cs="Arial"/>
          <w:color w:val="auto"/>
          <w:lang w:eastAsia="en-US"/>
        </w:rPr>
        <w:t xml:space="preserve">is </w:t>
      </w:r>
      <w:r w:rsidRPr="00D71D8D">
        <w:rPr>
          <w:rFonts w:cs="Arial"/>
          <w:color w:val="auto"/>
          <w:lang w:eastAsia="en-US"/>
        </w:rPr>
        <w:t xml:space="preserve">categorised as capital expenditure by the Council.  This </w:t>
      </w:r>
      <w:r w:rsidR="00010297">
        <w:rPr>
          <w:rFonts w:cs="Arial"/>
          <w:color w:val="auto"/>
          <w:lang w:eastAsia="en-US"/>
        </w:rPr>
        <w:t xml:space="preserve">means </w:t>
      </w:r>
      <w:r w:rsidRPr="00D71D8D">
        <w:rPr>
          <w:rFonts w:cs="Arial"/>
          <w:color w:val="auto"/>
          <w:lang w:eastAsia="en-US"/>
        </w:rPr>
        <w:t xml:space="preserve">that the Council can take out external borrowing to fund the loans as necessary.  The Council could fund </w:t>
      </w:r>
      <w:r w:rsidR="001250F2">
        <w:rPr>
          <w:rFonts w:cs="Arial"/>
          <w:color w:val="auto"/>
          <w:lang w:eastAsia="en-US"/>
        </w:rPr>
        <w:t>such loans</w:t>
      </w:r>
      <w:r w:rsidRPr="00D71D8D">
        <w:rPr>
          <w:rFonts w:cs="Arial"/>
          <w:color w:val="auto"/>
          <w:lang w:eastAsia="en-US"/>
        </w:rPr>
        <w:t xml:space="preserve"> from </w:t>
      </w:r>
      <w:r w:rsidR="002B0E44">
        <w:rPr>
          <w:rFonts w:cs="Arial"/>
          <w:color w:val="auto"/>
          <w:lang w:eastAsia="en-US"/>
        </w:rPr>
        <w:t>m</w:t>
      </w:r>
      <w:r w:rsidRPr="00D71D8D">
        <w:rPr>
          <w:rFonts w:cs="Arial"/>
          <w:color w:val="auto"/>
          <w:lang w:eastAsia="en-US"/>
        </w:rPr>
        <w:t>any</w:t>
      </w:r>
      <w:r w:rsidR="002B0E44">
        <w:rPr>
          <w:rFonts w:cs="Arial"/>
          <w:color w:val="auto"/>
          <w:lang w:eastAsia="en-US"/>
        </w:rPr>
        <w:t xml:space="preserve"> </w:t>
      </w:r>
      <w:r w:rsidR="001250F2">
        <w:rPr>
          <w:rFonts w:cs="Arial"/>
          <w:color w:val="auto"/>
          <w:lang w:eastAsia="en-US"/>
        </w:rPr>
        <w:t>source</w:t>
      </w:r>
      <w:r w:rsidR="002B0E44">
        <w:rPr>
          <w:rFonts w:cs="Arial"/>
          <w:color w:val="auto"/>
          <w:lang w:eastAsia="en-US"/>
        </w:rPr>
        <w:t>s</w:t>
      </w:r>
      <w:r w:rsidR="00DC70EE">
        <w:rPr>
          <w:rFonts w:cs="Arial"/>
          <w:color w:val="auto"/>
          <w:lang w:eastAsia="en-US"/>
        </w:rPr>
        <w:t xml:space="preserve">; </w:t>
      </w:r>
      <w:r w:rsidRPr="00D71D8D">
        <w:rPr>
          <w:rFonts w:cs="Arial"/>
          <w:color w:val="auto"/>
          <w:lang w:eastAsia="en-US"/>
        </w:rPr>
        <w:t>however</w:t>
      </w:r>
      <w:r w:rsidR="005D4197">
        <w:rPr>
          <w:rFonts w:cs="Arial"/>
          <w:color w:val="auto"/>
          <w:lang w:eastAsia="en-US"/>
        </w:rPr>
        <w:t>,</w:t>
      </w:r>
      <w:r w:rsidRPr="00D71D8D">
        <w:rPr>
          <w:rFonts w:cs="Arial"/>
          <w:color w:val="auto"/>
          <w:lang w:eastAsia="en-US"/>
        </w:rPr>
        <w:t xml:space="preserve"> the majority will be funded from </w:t>
      </w:r>
      <w:r w:rsidR="00010297">
        <w:rPr>
          <w:rFonts w:cs="Arial"/>
          <w:color w:val="auto"/>
          <w:lang w:eastAsia="en-US"/>
        </w:rPr>
        <w:t xml:space="preserve">internal and </w:t>
      </w:r>
      <w:r w:rsidRPr="00D71D8D">
        <w:rPr>
          <w:rFonts w:cs="Arial"/>
          <w:color w:val="auto"/>
          <w:lang w:eastAsia="en-US"/>
        </w:rPr>
        <w:t xml:space="preserve">external borrowing.  The </w:t>
      </w:r>
      <w:r w:rsidR="001250F2">
        <w:rPr>
          <w:rFonts w:cs="Arial"/>
          <w:color w:val="auto"/>
          <w:lang w:eastAsia="en-US"/>
        </w:rPr>
        <w:t xml:space="preserve">Council will not make any MRP provision in respect of </w:t>
      </w:r>
      <w:r w:rsidRPr="00D71D8D">
        <w:rPr>
          <w:rFonts w:cs="Arial"/>
          <w:color w:val="auto"/>
          <w:lang w:eastAsia="en-US"/>
        </w:rPr>
        <w:t xml:space="preserve">loans to a Company </w:t>
      </w:r>
      <w:r w:rsidR="001250F2">
        <w:rPr>
          <w:rFonts w:cs="Arial"/>
          <w:color w:val="auto"/>
          <w:lang w:eastAsia="en-US"/>
        </w:rPr>
        <w:t>in which it has an interest on the basis that the loan will be repaid in full on the agreed terms (see</w:t>
      </w:r>
      <w:r w:rsidRPr="00D71D8D">
        <w:rPr>
          <w:rFonts w:cs="Arial"/>
          <w:color w:val="auto"/>
          <w:lang w:eastAsia="en-US"/>
        </w:rPr>
        <w:t xml:space="preserve"> paragraph </w:t>
      </w:r>
      <w:r w:rsidR="0017543A" w:rsidRPr="0017543A">
        <w:rPr>
          <w:rFonts w:cs="Arial"/>
          <w:color w:val="auto"/>
          <w:lang w:eastAsia="en-US"/>
        </w:rPr>
        <w:t>2</w:t>
      </w:r>
      <w:r w:rsidR="0017543A">
        <w:rPr>
          <w:rFonts w:cs="Arial"/>
          <w:color w:val="auto"/>
          <w:lang w:eastAsia="en-US"/>
        </w:rPr>
        <w:t>4</w:t>
      </w:r>
      <w:r w:rsidRPr="00D71D8D">
        <w:rPr>
          <w:rFonts w:cs="Arial"/>
          <w:color w:val="auto"/>
          <w:lang w:eastAsia="en-US"/>
        </w:rPr>
        <w:t>d). The Council will undertake these loans under powers other than its investment powers.</w:t>
      </w:r>
    </w:p>
    <w:p w:rsidR="00236CBB" w:rsidRDefault="00236CBB" w:rsidP="00236CBB">
      <w:pPr>
        <w:spacing w:after="0"/>
        <w:ind w:left="360"/>
        <w:contextualSpacing/>
        <w:rPr>
          <w:rFonts w:cs="Arial"/>
          <w:color w:val="auto"/>
          <w:lang w:eastAsia="en-US"/>
        </w:rPr>
      </w:pPr>
    </w:p>
    <w:p w:rsidR="00236CBB" w:rsidRDefault="00236CBB" w:rsidP="00D71D8D">
      <w:pPr>
        <w:numPr>
          <w:ilvl w:val="0"/>
          <w:numId w:val="34"/>
        </w:numPr>
        <w:spacing w:after="0"/>
        <w:contextualSpacing/>
        <w:rPr>
          <w:rFonts w:cs="Arial"/>
          <w:color w:val="auto"/>
          <w:lang w:eastAsia="en-US"/>
        </w:rPr>
      </w:pPr>
      <w:r>
        <w:rPr>
          <w:rFonts w:cs="Arial"/>
          <w:color w:val="auto"/>
          <w:lang w:eastAsia="en-US"/>
        </w:rPr>
        <w:t>Interest rates charged on the loans will be set with reference to:</w:t>
      </w:r>
    </w:p>
    <w:p w:rsidR="00236CBB" w:rsidRDefault="00236CBB" w:rsidP="00236CBB">
      <w:pPr>
        <w:pStyle w:val="ListParagraph"/>
        <w:numPr>
          <w:ilvl w:val="0"/>
          <w:numId w:val="47"/>
        </w:numPr>
        <w:spacing w:after="0"/>
        <w:ind w:left="1145" w:hanging="357"/>
        <w:rPr>
          <w:rFonts w:cs="Arial"/>
          <w:color w:val="auto"/>
          <w:lang w:eastAsia="en-US"/>
        </w:rPr>
      </w:pPr>
      <w:r>
        <w:rPr>
          <w:rFonts w:cs="Arial"/>
          <w:color w:val="auto"/>
          <w:lang w:eastAsia="en-US"/>
        </w:rPr>
        <w:t>The level of collateral;</w:t>
      </w:r>
    </w:p>
    <w:p w:rsidR="00236CBB" w:rsidRDefault="00236CBB" w:rsidP="00236CBB">
      <w:pPr>
        <w:pStyle w:val="ListParagraph"/>
        <w:numPr>
          <w:ilvl w:val="0"/>
          <w:numId w:val="47"/>
        </w:numPr>
        <w:spacing w:after="0"/>
        <w:ind w:left="1145" w:hanging="357"/>
        <w:rPr>
          <w:rFonts w:cs="Arial"/>
          <w:color w:val="auto"/>
          <w:lang w:eastAsia="en-US"/>
        </w:rPr>
      </w:pPr>
      <w:r>
        <w:rPr>
          <w:rFonts w:cs="Arial"/>
          <w:color w:val="auto"/>
          <w:lang w:eastAsia="en-US"/>
        </w:rPr>
        <w:t>An assessment of the credit worthiness of the company; and</w:t>
      </w:r>
    </w:p>
    <w:p w:rsidR="00236CBB" w:rsidRDefault="00236CBB" w:rsidP="00236CBB">
      <w:pPr>
        <w:pStyle w:val="ListParagraph"/>
        <w:numPr>
          <w:ilvl w:val="0"/>
          <w:numId w:val="47"/>
        </w:numPr>
        <w:spacing w:after="0"/>
        <w:ind w:left="1145" w:hanging="357"/>
        <w:rPr>
          <w:rFonts w:cs="Arial"/>
          <w:color w:val="auto"/>
          <w:lang w:eastAsia="en-US"/>
        </w:rPr>
      </w:pPr>
      <w:r>
        <w:rPr>
          <w:rFonts w:cs="Arial"/>
          <w:color w:val="auto"/>
          <w:lang w:eastAsia="en-US"/>
        </w:rPr>
        <w:t>State Aid rules</w:t>
      </w:r>
    </w:p>
    <w:p w:rsidR="00236CBB" w:rsidRDefault="00236CBB" w:rsidP="00236CBB">
      <w:pPr>
        <w:spacing w:after="0"/>
        <w:ind w:left="360"/>
        <w:contextualSpacing/>
        <w:rPr>
          <w:rFonts w:cs="Arial"/>
          <w:color w:val="auto"/>
          <w:lang w:eastAsia="en-US"/>
        </w:rPr>
      </w:pPr>
    </w:p>
    <w:p w:rsidR="00236CBB" w:rsidRDefault="00236CBB" w:rsidP="00D71D8D">
      <w:pPr>
        <w:numPr>
          <w:ilvl w:val="0"/>
          <w:numId w:val="34"/>
        </w:numPr>
        <w:spacing w:after="0"/>
        <w:contextualSpacing/>
        <w:rPr>
          <w:rFonts w:cs="Arial"/>
          <w:color w:val="auto"/>
          <w:lang w:eastAsia="en-US"/>
        </w:rPr>
      </w:pPr>
      <w:r>
        <w:rPr>
          <w:rFonts w:cs="Arial"/>
          <w:color w:val="auto"/>
          <w:lang w:eastAsia="en-US"/>
        </w:rPr>
        <w:t xml:space="preserve">Loan agreements will be put in place for </w:t>
      </w:r>
      <w:r w:rsidR="001250F2">
        <w:rPr>
          <w:rFonts w:cs="Arial"/>
          <w:color w:val="auto"/>
          <w:lang w:eastAsia="en-US"/>
        </w:rPr>
        <w:t xml:space="preserve">any </w:t>
      </w:r>
      <w:r>
        <w:rPr>
          <w:rFonts w:cs="Arial"/>
          <w:color w:val="auto"/>
          <w:lang w:eastAsia="en-US"/>
        </w:rPr>
        <w:t>loans</w:t>
      </w:r>
      <w:r w:rsidR="001250F2">
        <w:rPr>
          <w:rFonts w:cs="Arial"/>
          <w:color w:val="auto"/>
          <w:lang w:eastAsia="en-US"/>
        </w:rPr>
        <w:t xml:space="preserve"> to Companies in which it has an interest.  The agreements will</w:t>
      </w:r>
      <w:r>
        <w:rPr>
          <w:rFonts w:cs="Arial"/>
          <w:color w:val="auto"/>
          <w:lang w:eastAsia="en-US"/>
        </w:rPr>
        <w:t xml:space="preserve"> detail:</w:t>
      </w:r>
    </w:p>
    <w:p w:rsidR="00236CBB" w:rsidRPr="00236CBB" w:rsidRDefault="00236CBB" w:rsidP="00236CBB">
      <w:pPr>
        <w:pStyle w:val="ListParagraph"/>
        <w:numPr>
          <w:ilvl w:val="0"/>
          <w:numId w:val="48"/>
        </w:numPr>
        <w:spacing w:after="0"/>
        <w:contextualSpacing/>
        <w:rPr>
          <w:rFonts w:cs="Arial"/>
          <w:color w:val="auto"/>
          <w:lang w:eastAsia="en-US"/>
        </w:rPr>
      </w:pPr>
      <w:r w:rsidRPr="00236CBB">
        <w:rPr>
          <w:rFonts w:cs="Arial"/>
          <w:color w:val="auto"/>
          <w:lang w:eastAsia="en-US"/>
        </w:rPr>
        <w:t>The general terms under which the loan is advanced;</w:t>
      </w:r>
    </w:p>
    <w:p w:rsidR="00236CBB" w:rsidRPr="00236CBB" w:rsidRDefault="00236CBB" w:rsidP="00236CBB">
      <w:pPr>
        <w:pStyle w:val="ListParagraph"/>
        <w:numPr>
          <w:ilvl w:val="0"/>
          <w:numId w:val="48"/>
        </w:numPr>
        <w:spacing w:after="0"/>
        <w:contextualSpacing/>
        <w:rPr>
          <w:rFonts w:cs="Arial"/>
          <w:color w:val="auto"/>
          <w:lang w:eastAsia="en-US"/>
        </w:rPr>
      </w:pPr>
      <w:r w:rsidRPr="00236CBB">
        <w:rPr>
          <w:rFonts w:cs="Arial"/>
          <w:color w:val="auto"/>
          <w:lang w:eastAsia="en-US"/>
        </w:rPr>
        <w:t>Loan repayment requirements;</w:t>
      </w:r>
    </w:p>
    <w:p w:rsidR="00236CBB" w:rsidRPr="00236CBB" w:rsidRDefault="00220389" w:rsidP="00236CBB">
      <w:pPr>
        <w:pStyle w:val="ListParagraph"/>
        <w:numPr>
          <w:ilvl w:val="0"/>
          <w:numId w:val="48"/>
        </w:numPr>
        <w:spacing w:after="0"/>
        <w:contextualSpacing/>
        <w:rPr>
          <w:rFonts w:cs="Arial"/>
          <w:color w:val="auto"/>
          <w:lang w:eastAsia="en-US"/>
        </w:rPr>
      </w:pPr>
      <w:r>
        <w:rPr>
          <w:rFonts w:cs="Arial"/>
          <w:color w:val="auto"/>
          <w:lang w:eastAsia="en-US"/>
        </w:rPr>
        <w:t xml:space="preserve">What </w:t>
      </w:r>
      <w:r w:rsidR="001250F2">
        <w:rPr>
          <w:rFonts w:cs="Arial"/>
          <w:color w:val="auto"/>
          <w:lang w:eastAsia="en-US"/>
        </w:rPr>
        <w:t>s</w:t>
      </w:r>
      <w:r w:rsidR="00236CBB" w:rsidRPr="00236CBB">
        <w:rPr>
          <w:rFonts w:cs="Arial"/>
          <w:color w:val="auto"/>
          <w:lang w:eastAsia="en-US"/>
        </w:rPr>
        <w:t xml:space="preserve">ecurity </w:t>
      </w:r>
      <w:r>
        <w:rPr>
          <w:rFonts w:cs="Arial"/>
          <w:color w:val="auto"/>
          <w:lang w:eastAsia="en-US"/>
        </w:rPr>
        <w:t xml:space="preserve">there is </w:t>
      </w:r>
      <w:r w:rsidR="00236CBB" w:rsidRPr="00236CBB">
        <w:rPr>
          <w:rFonts w:cs="Arial"/>
          <w:color w:val="auto"/>
          <w:lang w:eastAsia="en-US"/>
        </w:rPr>
        <w:t>on the loan with reference to collateral; and</w:t>
      </w:r>
    </w:p>
    <w:p w:rsidR="00236CBB" w:rsidRPr="00236CBB" w:rsidRDefault="00236CBB" w:rsidP="00236CBB">
      <w:pPr>
        <w:pStyle w:val="ListParagraph"/>
        <w:numPr>
          <w:ilvl w:val="0"/>
          <w:numId w:val="48"/>
        </w:numPr>
        <w:spacing w:after="0"/>
        <w:contextualSpacing/>
        <w:rPr>
          <w:rFonts w:cs="Arial"/>
          <w:color w:val="auto"/>
          <w:lang w:eastAsia="en-US"/>
        </w:rPr>
      </w:pPr>
      <w:r w:rsidRPr="00236CBB">
        <w:rPr>
          <w:rFonts w:cs="Arial"/>
          <w:color w:val="auto"/>
          <w:lang w:eastAsia="en-US"/>
        </w:rPr>
        <w:t>Any loan covenants that must be adhered to.</w:t>
      </w:r>
    </w:p>
    <w:p w:rsidR="00236CBB" w:rsidRDefault="00236CBB" w:rsidP="00236CBB">
      <w:pPr>
        <w:spacing w:after="0"/>
        <w:ind w:left="360"/>
        <w:contextualSpacing/>
        <w:rPr>
          <w:rFonts w:cs="Arial"/>
          <w:color w:val="auto"/>
          <w:lang w:eastAsia="en-US"/>
        </w:rPr>
      </w:pPr>
    </w:p>
    <w:p w:rsidR="00236CBB" w:rsidRDefault="00236CBB" w:rsidP="00236CBB">
      <w:pPr>
        <w:numPr>
          <w:ilvl w:val="0"/>
          <w:numId w:val="34"/>
        </w:numPr>
        <w:spacing w:after="0"/>
        <w:contextualSpacing/>
        <w:rPr>
          <w:rFonts w:cs="Arial"/>
          <w:color w:val="auto"/>
          <w:lang w:eastAsia="en-US"/>
        </w:rPr>
      </w:pPr>
      <w:r>
        <w:rPr>
          <w:rFonts w:cs="Arial"/>
          <w:color w:val="auto"/>
          <w:lang w:eastAsia="en-US"/>
        </w:rPr>
        <w:t xml:space="preserve">The Council’s Section 151 </w:t>
      </w:r>
      <w:r w:rsidR="00CE15A0">
        <w:rPr>
          <w:rFonts w:cs="Arial"/>
          <w:color w:val="auto"/>
          <w:lang w:eastAsia="en-US"/>
        </w:rPr>
        <w:t xml:space="preserve">Officer </w:t>
      </w:r>
      <w:r>
        <w:rPr>
          <w:rFonts w:cs="Arial"/>
          <w:color w:val="auto"/>
          <w:lang w:eastAsia="en-US"/>
        </w:rPr>
        <w:t xml:space="preserve">will monitor the financial performance of the Companies on a regular basis and </w:t>
      </w:r>
      <w:r w:rsidR="00CE15A0">
        <w:rPr>
          <w:rFonts w:cs="Arial"/>
          <w:color w:val="auto"/>
          <w:lang w:eastAsia="en-US"/>
        </w:rPr>
        <w:t>use this information to assess any risks of loan default.  Where a risk of default becomes apparent, the Section 151 Officer will assess any MRP that may be required in respect of the loan.</w:t>
      </w:r>
    </w:p>
    <w:p w:rsidR="00CE15A0" w:rsidRPr="00010297" w:rsidRDefault="00CE15A0" w:rsidP="00CE15A0">
      <w:pPr>
        <w:pStyle w:val="Heading1"/>
      </w:pPr>
      <w:r>
        <w:t>Banking and Treasury Management Arrangements in relation to the Companies</w:t>
      </w:r>
    </w:p>
    <w:p w:rsidR="00CE15A0" w:rsidRDefault="006B0ED4" w:rsidP="00236CBB">
      <w:pPr>
        <w:numPr>
          <w:ilvl w:val="0"/>
          <w:numId w:val="34"/>
        </w:numPr>
        <w:spacing w:after="0"/>
        <w:contextualSpacing/>
        <w:rPr>
          <w:rFonts w:cs="Arial"/>
          <w:color w:val="auto"/>
          <w:lang w:eastAsia="en-US"/>
        </w:rPr>
      </w:pPr>
      <w:r>
        <w:rPr>
          <w:rFonts w:cs="Arial"/>
          <w:color w:val="auto"/>
          <w:lang w:eastAsia="en-US"/>
        </w:rPr>
        <w:t>Subject to approval by the Company Boards i</w:t>
      </w:r>
      <w:r w:rsidR="00CE15A0">
        <w:rPr>
          <w:rFonts w:cs="Arial"/>
          <w:color w:val="auto"/>
          <w:lang w:eastAsia="en-US"/>
        </w:rPr>
        <w:t xml:space="preserve">t is proposed that the bank accounts relating to the Council’s wholly owned companies are grouped with the Council’s bank accounts for the purposes of cash flow management and investment.  In order to put this into place, the Boards of the Companies would have to adopt Treasury </w:t>
      </w:r>
      <w:r w:rsidR="00CE15A0">
        <w:rPr>
          <w:rFonts w:cs="Arial"/>
          <w:color w:val="auto"/>
          <w:lang w:eastAsia="en-US"/>
        </w:rPr>
        <w:lastRenderedPageBreak/>
        <w:t>Management principles in line with the Council’s Treasury Management Strategy.  This has the following advantages:</w:t>
      </w:r>
    </w:p>
    <w:p w:rsidR="00CE15A0" w:rsidRPr="00A91070" w:rsidRDefault="00CE15A0" w:rsidP="00393FAD">
      <w:pPr>
        <w:pStyle w:val="bParagraphtext"/>
        <w:numPr>
          <w:ilvl w:val="0"/>
          <w:numId w:val="49"/>
        </w:numPr>
        <w:spacing w:after="0"/>
        <w:ind w:left="1077" w:hanging="357"/>
        <w:rPr>
          <w:color w:val="auto"/>
        </w:rPr>
      </w:pPr>
      <w:r w:rsidRPr="00A91070">
        <w:rPr>
          <w:color w:val="auto"/>
        </w:rPr>
        <w:t xml:space="preserve">The </w:t>
      </w:r>
      <w:proofErr w:type="spellStart"/>
      <w:r w:rsidRPr="00A91070">
        <w:rPr>
          <w:color w:val="auto"/>
        </w:rPr>
        <w:t>cashflows</w:t>
      </w:r>
      <w:proofErr w:type="spellEnd"/>
      <w:r w:rsidRPr="00A91070">
        <w:rPr>
          <w:color w:val="auto"/>
        </w:rPr>
        <w:t xml:space="preserve"> of the companies could be managed within the Council’s current arrangements for treasury management</w:t>
      </w:r>
    </w:p>
    <w:p w:rsidR="00CE15A0" w:rsidRPr="00A91070" w:rsidRDefault="00CE15A0" w:rsidP="00393FAD">
      <w:pPr>
        <w:pStyle w:val="bParagraphtext"/>
        <w:numPr>
          <w:ilvl w:val="0"/>
          <w:numId w:val="49"/>
        </w:numPr>
        <w:spacing w:after="0"/>
        <w:ind w:left="1077" w:hanging="357"/>
        <w:rPr>
          <w:color w:val="auto"/>
        </w:rPr>
      </w:pPr>
      <w:r w:rsidRPr="00A91070">
        <w:rPr>
          <w:color w:val="auto"/>
        </w:rPr>
        <w:t xml:space="preserve">Overdrafts would not need to be arranged and paid for either for the Companies’ </w:t>
      </w:r>
      <w:r>
        <w:rPr>
          <w:color w:val="auto"/>
        </w:rPr>
        <w:t xml:space="preserve">bank </w:t>
      </w:r>
      <w:r w:rsidRPr="00A91070">
        <w:rPr>
          <w:color w:val="auto"/>
        </w:rPr>
        <w:t>accounts</w:t>
      </w:r>
    </w:p>
    <w:p w:rsidR="00CE15A0" w:rsidRPr="00A91070" w:rsidRDefault="00CE15A0" w:rsidP="00393FAD">
      <w:pPr>
        <w:pStyle w:val="bParagraphtext"/>
        <w:numPr>
          <w:ilvl w:val="0"/>
          <w:numId w:val="49"/>
        </w:numPr>
        <w:spacing w:after="0"/>
        <w:ind w:left="1077" w:hanging="357"/>
        <w:rPr>
          <w:color w:val="auto"/>
        </w:rPr>
      </w:pPr>
      <w:r w:rsidRPr="00A91070">
        <w:rPr>
          <w:color w:val="auto"/>
        </w:rPr>
        <w:t xml:space="preserve">Working capital draw down could be minimised based on actual </w:t>
      </w:r>
      <w:proofErr w:type="spellStart"/>
      <w:r w:rsidRPr="00A91070">
        <w:rPr>
          <w:color w:val="auto"/>
        </w:rPr>
        <w:t>cashflow</w:t>
      </w:r>
      <w:proofErr w:type="spellEnd"/>
      <w:r w:rsidRPr="00A91070">
        <w:rPr>
          <w:color w:val="auto"/>
        </w:rPr>
        <w:t xml:space="preserve"> required to balance the accounts to nil (calculated on a notional basis with no need for cash transfers)</w:t>
      </w:r>
    </w:p>
    <w:p w:rsidR="00CE15A0" w:rsidRPr="00393FAD" w:rsidRDefault="00CE15A0" w:rsidP="00393FAD">
      <w:pPr>
        <w:pStyle w:val="bParagraphtext"/>
        <w:numPr>
          <w:ilvl w:val="0"/>
          <w:numId w:val="49"/>
        </w:numPr>
        <w:spacing w:after="0"/>
        <w:ind w:left="1077" w:hanging="357"/>
        <w:rPr>
          <w:color w:val="auto"/>
        </w:rPr>
      </w:pPr>
      <w:r w:rsidRPr="00393FAD">
        <w:rPr>
          <w:color w:val="auto"/>
        </w:rPr>
        <w:t xml:space="preserve">Assuming adoption of the Council’s </w:t>
      </w:r>
      <w:r w:rsidR="00393FAD">
        <w:rPr>
          <w:color w:val="auto"/>
        </w:rPr>
        <w:t>Treasury Management principles</w:t>
      </w:r>
      <w:r w:rsidRPr="00393FAD">
        <w:rPr>
          <w:color w:val="auto"/>
        </w:rPr>
        <w:t>, the Companies could earn interest on any positive balances in line with that achieved by the Council</w:t>
      </w:r>
      <w:r w:rsidR="00393FAD">
        <w:rPr>
          <w:color w:val="auto"/>
        </w:rPr>
        <w:t xml:space="preserve"> (excluding investments in property funds)</w:t>
      </w:r>
    </w:p>
    <w:p w:rsidR="00CE15A0" w:rsidRPr="00A91070" w:rsidRDefault="00CE15A0" w:rsidP="00393FAD">
      <w:pPr>
        <w:pStyle w:val="bParagraphtext"/>
        <w:numPr>
          <w:ilvl w:val="0"/>
          <w:numId w:val="49"/>
        </w:numPr>
        <w:spacing w:after="0"/>
        <w:ind w:left="1077" w:hanging="357"/>
        <w:rPr>
          <w:color w:val="auto"/>
        </w:rPr>
      </w:pPr>
      <w:r w:rsidRPr="00A91070">
        <w:rPr>
          <w:color w:val="auto"/>
        </w:rPr>
        <w:t>There would be no need for</w:t>
      </w:r>
      <w:r w:rsidR="00393FAD">
        <w:rPr>
          <w:color w:val="auto"/>
        </w:rPr>
        <w:t xml:space="preserve"> the Companies to comply separately with Mi</w:t>
      </w:r>
      <w:r w:rsidRPr="00A91070">
        <w:rPr>
          <w:color w:val="auto"/>
        </w:rPr>
        <w:t>FID II</w:t>
      </w:r>
      <w:r w:rsidR="00393FAD">
        <w:rPr>
          <w:color w:val="auto"/>
        </w:rPr>
        <w:t xml:space="preserve"> to undertake investments which, due to the lack of treasury management history and an investment portfolio that does not meet the minimum levels, would not be able to be achieved, thus limiting their investment options</w:t>
      </w:r>
    </w:p>
    <w:p w:rsidR="00CE15A0" w:rsidRDefault="00CE15A0" w:rsidP="00393FAD">
      <w:pPr>
        <w:pStyle w:val="bParagraphtext"/>
        <w:numPr>
          <w:ilvl w:val="0"/>
          <w:numId w:val="49"/>
        </w:numPr>
        <w:spacing w:after="0"/>
        <w:ind w:left="1077" w:hanging="357"/>
        <w:rPr>
          <w:color w:val="auto"/>
        </w:rPr>
      </w:pPr>
      <w:r w:rsidRPr="00A91070">
        <w:rPr>
          <w:color w:val="auto"/>
        </w:rPr>
        <w:t xml:space="preserve">The Council would not need to apply for FCA registration and therefore would not need to incur </w:t>
      </w:r>
      <w:r w:rsidR="00393FAD">
        <w:rPr>
          <w:color w:val="auto"/>
        </w:rPr>
        <w:t xml:space="preserve">the </w:t>
      </w:r>
      <w:r w:rsidRPr="00A91070">
        <w:rPr>
          <w:color w:val="auto"/>
        </w:rPr>
        <w:t xml:space="preserve">additional costs </w:t>
      </w:r>
      <w:r w:rsidR="00393FAD">
        <w:rPr>
          <w:color w:val="auto"/>
        </w:rPr>
        <w:t xml:space="preserve">of doing so.  Additional costs would be chargeable </w:t>
      </w:r>
      <w:r w:rsidRPr="00A91070">
        <w:rPr>
          <w:color w:val="auto"/>
        </w:rPr>
        <w:t>to the Companies</w:t>
      </w:r>
      <w:r w:rsidR="00393FAD">
        <w:rPr>
          <w:color w:val="auto"/>
        </w:rPr>
        <w:t>, but is an unnecessary additional expense providing agreement is reached on Treasury Management principles and processes</w:t>
      </w:r>
      <w:r w:rsidRPr="00A91070">
        <w:rPr>
          <w:color w:val="auto"/>
        </w:rPr>
        <w:t>.</w:t>
      </w:r>
    </w:p>
    <w:p w:rsidR="00D71D8D" w:rsidRPr="00010297" w:rsidRDefault="00D71D8D" w:rsidP="00010297">
      <w:pPr>
        <w:pStyle w:val="Heading1"/>
      </w:pPr>
      <w:r w:rsidRPr="00010297">
        <w:t>Ethical Investment Policy</w:t>
      </w:r>
    </w:p>
    <w:p w:rsidR="00D71D8D" w:rsidRPr="00D71D8D" w:rsidRDefault="005D4197" w:rsidP="00D71D8D">
      <w:pPr>
        <w:numPr>
          <w:ilvl w:val="0"/>
          <w:numId w:val="34"/>
        </w:numPr>
        <w:spacing w:after="0"/>
        <w:contextualSpacing/>
        <w:rPr>
          <w:rFonts w:cs="Arial"/>
          <w:color w:val="auto"/>
          <w:lang w:eastAsia="en-US"/>
        </w:rPr>
      </w:pPr>
      <w:r>
        <w:rPr>
          <w:rFonts w:cs="Arial"/>
          <w:color w:val="auto"/>
          <w:lang w:eastAsia="en-US"/>
        </w:rPr>
        <w:t xml:space="preserve">The </w:t>
      </w:r>
      <w:r w:rsidR="00D71D8D" w:rsidRPr="00D71D8D">
        <w:rPr>
          <w:rFonts w:cs="Arial"/>
          <w:color w:val="auto"/>
          <w:lang w:eastAsia="en-US"/>
        </w:rPr>
        <w:t>Council adopted an ethical investment policy in 2015/16</w:t>
      </w:r>
      <w:r w:rsidR="001250F2">
        <w:rPr>
          <w:rFonts w:cs="Arial"/>
          <w:color w:val="auto"/>
          <w:lang w:eastAsia="en-US"/>
        </w:rPr>
        <w:t>.</w:t>
      </w:r>
      <w:r w:rsidR="00D71D8D" w:rsidRPr="00D71D8D">
        <w:rPr>
          <w:rFonts w:cs="Arial"/>
          <w:color w:val="auto"/>
          <w:lang w:eastAsia="en-US"/>
        </w:rPr>
        <w:t xml:space="preserve">  No changes are proposed to th</w:t>
      </w:r>
      <w:r w:rsidR="001250F2">
        <w:rPr>
          <w:rFonts w:cs="Arial"/>
          <w:color w:val="auto"/>
          <w:lang w:eastAsia="en-US"/>
        </w:rPr>
        <w:t xml:space="preserve">e </w:t>
      </w:r>
      <w:r w:rsidR="00D71D8D" w:rsidRPr="00D71D8D">
        <w:rPr>
          <w:rFonts w:cs="Arial"/>
          <w:color w:val="auto"/>
          <w:lang w:eastAsia="en-US"/>
        </w:rPr>
        <w:t xml:space="preserve">policy </w:t>
      </w:r>
      <w:r w:rsidR="001250F2" w:rsidRPr="00D71D8D">
        <w:rPr>
          <w:rFonts w:cs="Arial"/>
          <w:color w:val="auto"/>
          <w:lang w:eastAsia="en-US"/>
        </w:rPr>
        <w:t>which is set out below</w:t>
      </w:r>
      <w:r w:rsidR="001250F2">
        <w:rPr>
          <w:rFonts w:cs="Arial"/>
          <w:color w:val="auto"/>
          <w:lang w:eastAsia="en-US"/>
        </w:rPr>
        <w:t>:</w:t>
      </w:r>
    </w:p>
    <w:p w:rsidR="00D71D8D" w:rsidRPr="00D71D8D" w:rsidRDefault="00D71D8D" w:rsidP="00D71D8D">
      <w:pPr>
        <w:spacing w:after="0"/>
        <w:ind w:left="360"/>
        <w:rPr>
          <w:rFonts w:cs="Arial"/>
          <w:color w:val="auto"/>
          <w:lang w:eastAsia="en-US"/>
        </w:rPr>
      </w:pPr>
    </w:p>
    <w:p w:rsidR="00D71D8D" w:rsidRPr="00D71D8D" w:rsidRDefault="00D71D8D" w:rsidP="002B0E44">
      <w:pPr>
        <w:spacing w:after="0"/>
        <w:ind w:left="360"/>
        <w:contextualSpacing/>
        <w:rPr>
          <w:rFonts w:cs="Arial"/>
          <w:color w:val="auto"/>
          <w:lang w:eastAsia="en-US"/>
        </w:rPr>
      </w:pPr>
      <w:r w:rsidRPr="00D71D8D">
        <w:rPr>
          <w:rFonts w:cs="Arial"/>
          <w:color w:val="auto"/>
          <w:lang w:eastAsia="en-US"/>
        </w:rPr>
        <w:t>The Council will not knowingly invest directly in businesses whose activities and practices pose a risk of serious harm to individuals or groups, or whose activities are inconsistent with the Council’s mission and values.  This would include, inter alia, avoiding direct investment in institutions with material links to:</w:t>
      </w:r>
    </w:p>
    <w:p w:rsidR="00D71D8D" w:rsidRPr="00D71D8D" w:rsidRDefault="00D71D8D" w:rsidP="00D71D8D">
      <w:pPr>
        <w:spacing w:after="0"/>
        <w:ind w:left="720"/>
        <w:contextualSpacing/>
        <w:rPr>
          <w:rFonts w:cs="Arial"/>
          <w:color w:val="auto"/>
          <w:lang w:eastAsia="en-US"/>
        </w:rPr>
      </w:pPr>
    </w:p>
    <w:p w:rsidR="00D71D8D" w:rsidRPr="00D71D8D" w:rsidRDefault="00D71D8D" w:rsidP="00D71D8D">
      <w:pPr>
        <w:numPr>
          <w:ilvl w:val="1"/>
          <w:numId w:val="34"/>
        </w:numPr>
        <w:spacing w:after="0"/>
        <w:contextualSpacing/>
        <w:rPr>
          <w:rFonts w:cs="Arial"/>
          <w:color w:val="auto"/>
          <w:lang w:eastAsia="en-US"/>
        </w:rPr>
      </w:pPr>
      <w:r w:rsidRPr="00D71D8D">
        <w:rPr>
          <w:rFonts w:cs="Arial"/>
          <w:color w:val="auto"/>
          <w:lang w:eastAsia="en-US"/>
        </w:rPr>
        <w:t>Human rights abuse (e.g. child labour, political oppression)</w:t>
      </w:r>
    </w:p>
    <w:p w:rsidR="00D71D8D" w:rsidRPr="00D71D8D" w:rsidRDefault="00D71D8D" w:rsidP="00D71D8D">
      <w:pPr>
        <w:numPr>
          <w:ilvl w:val="1"/>
          <w:numId w:val="34"/>
        </w:numPr>
        <w:spacing w:after="0"/>
        <w:contextualSpacing/>
        <w:rPr>
          <w:rFonts w:cs="Arial"/>
          <w:color w:val="auto"/>
          <w:lang w:eastAsia="en-US"/>
        </w:rPr>
      </w:pPr>
      <w:r w:rsidRPr="00D71D8D">
        <w:rPr>
          <w:rFonts w:cs="Arial"/>
          <w:color w:val="auto"/>
          <w:lang w:eastAsia="en-US"/>
        </w:rPr>
        <w:t>Environmentally harmful activities (e.g. pollutants, destruction of habitat, fossil fuels)</w:t>
      </w:r>
    </w:p>
    <w:p w:rsidR="00D71D8D" w:rsidRPr="00D71D8D" w:rsidRDefault="00D71D8D" w:rsidP="00D71D8D">
      <w:pPr>
        <w:numPr>
          <w:ilvl w:val="1"/>
          <w:numId w:val="34"/>
        </w:numPr>
        <w:spacing w:after="0"/>
        <w:contextualSpacing/>
        <w:rPr>
          <w:rFonts w:cs="Arial"/>
          <w:color w:val="auto"/>
          <w:lang w:eastAsia="en-US"/>
        </w:rPr>
      </w:pPr>
      <w:r w:rsidRPr="00D71D8D">
        <w:rPr>
          <w:rFonts w:cs="Arial"/>
          <w:color w:val="auto"/>
          <w:lang w:eastAsia="en-US"/>
        </w:rPr>
        <w:t>Socially harmful activities (e.g. tobacco, gambling)</w:t>
      </w:r>
    </w:p>
    <w:p w:rsidR="00D71D8D" w:rsidRPr="00010297" w:rsidRDefault="00D71D8D" w:rsidP="00010297">
      <w:pPr>
        <w:pStyle w:val="Heading1"/>
      </w:pPr>
      <w:r w:rsidRPr="00010297">
        <w:t>Prudential Indicators</w:t>
      </w:r>
    </w:p>
    <w:p w:rsidR="00D71D8D" w:rsidRDefault="00D71D8D" w:rsidP="00D71D8D">
      <w:pPr>
        <w:numPr>
          <w:ilvl w:val="0"/>
          <w:numId w:val="34"/>
        </w:numPr>
        <w:spacing w:after="0"/>
        <w:contextualSpacing/>
        <w:rPr>
          <w:rFonts w:cs="Arial"/>
          <w:color w:val="auto"/>
          <w:lang w:eastAsia="en-US"/>
        </w:rPr>
      </w:pPr>
      <w:r w:rsidRPr="00D71D8D">
        <w:rPr>
          <w:rFonts w:cs="Arial"/>
          <w:color w:val="auto"/>
          <w:lang w:eastAsia="en-US"/>
        </w:rPr>
        <w:t>The Council is required to set out a number of indicators, relating to the affordability and prudence of its Treasury Strategy.  These indicators are detailed in Appendix 2 for the period 201</w:t>
      </w:r>
      <w:r w:rsidR="005D4197">
        <w:rPr>
          <w:rFonts w:cs="Arial"/>
          <w:color w:val="auto"/>
          <w:lang w:eastAsia="en-US"/>
        </w:rPr>
        <w:t>8</w:t>
      </w:r>
      <w:r w:rsidRPr="00D71D8D">
        <w:rPr>
          <w:rFonts w:cs="Arial"/>
          <w:color w:val="auto"/>
          <w:lang w:eastAsia="en-US"/>
        </w:rPr>
        <w:t>/1</w:t>
      </w:r>
      <w:r w:rsidR="005D4197">
        <w:rPr>
          <w:rFonts w:cs="Arial"/>
          <w:color w:val="auto"/>
          <w:lang w:eastAsia="en-US"/>
        </w:rPr>
        <w:t>9</w:t>
      </w:r>
      <w:r w:rsidRPr="00D71D8D">
        <w:rPr>
          <w:rFonts w:cs="Arial"/>
          <w:color w:val="auto"/>
          <w:lang w:eastAsia="en-US"/>
        </w:rPr>
        <w:t xml:space="preserve"> – 20</w:t>
      </w:r>
      <w:r w:rsidR="005D4197">
        <w:rPr>
          <w:rFonts w:cs="Arial"/>
          <w:color w:val="auto"/>
          <w:lang w:eastAsia="en-US"/>
        </w:rPr>
        <w:t>2</w:t>
      </w:r>
      <w:r w:rsidR="007B255A">
        <w:rPr>
          <w:rFonts w:cs="Arial"/>
          <w:color w:val="auto"/>
          <w:lang w:eastAsia="en-US"/>
        </w:rPr>
        <w:t>1</w:t>
      </w:r>
      <w:r w:rsidRPr="00D71D8D">
        <w:rPr>
          <w:rFonts w:cs="Arial"/>
          <w:color w:val="auto"/>
          <w:lang w:eastAsia="en-US"/>
        </w:rPr>
        <w:t>/2</w:t>
      </w:r>
      <w:r w:rsidR="007B255A">
        <w:rPr>
          <w:rFonts w:cs="Arial"/>
          <w:color w:val="auto"/>
          <w:lang w:eastAsia="en-US"/>
        </w:rPr>
        <w:t>2</w:t>
      </w:r>
      <w:r w:rsidRPr="00D71D8D">
        <w:rPr>
          <w:rFonts w:cs="Arial"/>
          <w:color w:val="auto"/>
          <w:lang w:eastAsia="en-US"/>
        </w:rPr>
        <w:t>, and will be monitored and reported on an annual basis.</w:t>
      </w:r>
    </w:p>
    <w:p w:rsidR="00B961C0" w:rsidRPr="00010297" w:rsidRDefault="00B961C0" w:rsidP="00010297">
      <w:pPr>
        <w:pStyle w:val="Heading1"/>
      </w:pPr>
      <w:r w:rsidRPr="001356F1">
        <w:t xml:space="preserve">Other implications </w:t>
      </w:r>
    </w:p>
    <w:p w:rsidR="00B961C0" w:rsidRDefault="00B961C0" w:rsidP="00B961C0">
      <w:pPr>
        <w:numPr>
          <w:ilvl w:val="0"/>
          <w:numId w:val="34"/>
        </w:numPr>
        <w:spacing w:after="0"/>
        <w:contextualSpacing/>
        <w:rPr>
          <w:rFonts w:cs="Arial"/>
          <w:color w:val="auto"/>
          <w:lang w:eastAsia="en-US"/>
        </w:rPr>
      </w:pPr>
      <w:r w:rsidRPr="00B961C0">
        <w:rPr>
          <w:rFonts w:cs="Arial"/>
          <w:color w:val="auto"/>
          <w:lang w:eastAsia="en-US"/>
        </w:rPr>
        <w:t>Environmental Impact</w:t>
      </w:r>
      <w:r>
        <w:rPr>
          <w:rFonts w:cs="Arial"/>
          <w:color w:val="auto"/>
          <w:lang w:eastAsia="en-US"/>
        </w:rPr>
        <w:t xml:space="preserve"> – f</w:t>
      </w:r>
      <w:r w:rsidRPr="00B961C0">
        <w:rPr>
          <w:rFonts w:cs="Arial"/>
          <w:color w:val="auto"/>
          <w:lang w:eastAsia="en-US"/>
        </w:rPr>
        <w:t>ollowing the inclusion of the Ethical Investment Policy, this ensures that through our investments we will not knowingly, directly invest in businesses that undertake harmful environmental activities.</w:t>
      </w:r>
    </w:p>
    <w:p w:rsidR="00B961C0" w:rsidRPr="001356F1" w:rsidRDefault="00B961C0" w:rsidP="00B961C0">
      <w:pPr>
        <w:pStyle w:val="Heading1"/>
      </w:pPr>
      <w:r w:rsidRPr="001356F1">
        <w:t>Financial implications</w:t>
      </w:r>
    </w:p>
    <w:p w:rsidR="00B961C0" w:rsidRDefault="00B961C0" w:rsidP="00B961C0">
      <w:pPr>
        <w:numPr>
          <w:ilvl w:val="0"/>
          <w:numId w:val="34"/>
        </w:numPr>
        <w:spacing w:after="0"/>
        <w:contextualSpacing/>
        <w:rPr>
          <w:rFonts w:cs="Arial"/>
          <w:color w:val="auto"/>
          <w:lang w:eastAsia="en-US"/>
        </w:rPr>
      </w:pPr>
      <w:r w:rsidRPr="00B961C0">
        <w:rPr>
          <w:rFonts w:cs="Arial"/>
          <w:color w:val="auto"/>
          <w:lang w:eastAsia="en-US"/>
        </w:rPr>
        <w:t xml:space="preserve">All financial issues </w:t>
      </w:r>
      <w:r w:rsidR="001250F2">
        <w:rPr>
          <w:rFonts w:cs="Arial"/>
          <w:color w:val="auto"/>
          <w:lang w:eastAsia="en-US"/>
        </w:rPr>
        <w:t>are</w:t>
      </w:r>
      <w:r w:rsidRPr="00B961C0">
        <w:rPr>
          <w:rFonts w:cs="Arial"/>
          <w:color w:val="auto"/>
          <w:lang w:eastAsia="en-US"/>
        </w:rPr>
        <w:t xml:space="preserve"> addr</w:t>
      </w:r>
      <w:r>
        <w:rPr>
          <w:rFonts w:cs="Arial"/>
          <w:color w:val="auto"/>
          <w:lang w:eastAsia="en-US"/>
        </w:rPr>
        <w:t xml:space="preserve">essed in the body </w:t>
      </w:r>
      <w:r w:rsidR="001250F2">
        <w:rPr>
          <w:rFonts w:cs="Arial"/>
          <w:color w:val="auto"/>
          <w:lang w:eastAsia="en-US"/>
        </w:rPr>
        <w:t xml:space="preserve">and appendices </w:t>
      </w:r>
      <w:r>
        <w:rPr>
          <w:rFonts w:cs="Arial"/>
          <w:color w:val="auto"/>
          <w:lang w:eastAsia="en-US"/>
        </w:rPr>
        <w:t>of the report.</w:t>
      </w:r>
    </w:p>
    <w:p w:rsidR="00B961C0" w:rsidRPr="001356F1" w:rsidRDefault="00B961C0" w:rsidP="00B961C0">
      <w:pPr>
        <w:pStyle w:val="Heading1"/>
      </w:pPr>
      <w:bookmarkStart w:id="1" w:name="_GoBack"/>
      <w:bookmarkEnd w:id="1"/>
      <w:r w:rsidRPr="001356F1">
        <w:lastRenderedPageBreak/>
        <w:t>Legal issues</w:t>
      </w:r>
    </w:p>
    <w:p w:rsidR="00B961C0" w:rsidRDefault="00B961C0" w:rsidP="00B961C0">
      <w:pPr>
        <w:numPr>
          <w:ilvl w:val="0"/>
          <w:numId w:val="34"/>
        </w:numPr>
        <w:spacing w:after="0"/>
        <w:contextualSpacing/>
        <w:rPr>
          <w:rFonts w:cs="Arial"/>
          <w:color w:val="auto"/>
          <w:lang w:eastAsia="en-US"/>
        </w:rPr>
      </w:pPr>
      <w:r w:rsidRPr="00B961C0">
        <w:rPr>
          <w:rFonts w:cs="Arial"/>
          <w:color w:val="auto"/>
          <w:lang w:eastAsia="en-US"/>
        </w:rPr>
        <w:t>This report fulfils four key requirements:</w:t>
      </w:r>
    </w:p>
    <w:p w:rsidR="00B961C0" w:rsidRDefault="00B961C0" w:rsidP="00B961C0">
      <w:pPr>
        <w:pStyle w:val="ListParagraph"/>
        <w:numPr>
          <w:ilvl w:val="0"/>
          <w:numId w:val="42"/>
        </w:numPr>
        <w:tabs>
          <w:tab w:val="clear" w:pos="426"/>
        </w:tabs>
        <w:ind w:left="1276" w:hanging="425"/>
        <w:rPr>
          <w:rFonts w:cs="Arial"/>
        </w:rPr>
      </w:pPr>
      <w:r w:rsidRPr="00FD642B">
        <w:rPr>
          <w:rFonts w:cs="Arial"/>
        </w:rPr>
        <w:t xml:space="preserve">The reporting of the </w:t>
      </w:r>
      <w:r>
        <w:rPr>
          <w:rFonts w:cs="Arial"/>
        </w:rPr>
        <w:t>P</w:t>
      </w:r>
      <w:r w:rsidRPr="00FD642B">
        <w:rPr>
          <w:rFonts w:cs="Arial"/>
        </w:rPr>
        <w:t xml:space="preserve">rudential </w:t>
      </w:r>
      <w:r>
        <w:rPr>
          <w:rFonts w:cs="Arial"/>
        </w:rPr>
        <w:t>I</w:t>
      </w:r>
      <w:r w:rsidRPr="00FD642B">
        <w:rPr>
          <w:rFonts w:cs="Arial"/>
        </w:rPr>
        <w:t xml:space="preserve">ndicators setting out the </w:t>
      </w:r>
      <w:r>
        <w:rPr>
          <w:rFonts w:cs="Arial"/>
        </w:rPr>
        <w:t xml:space="preserve">Council’s </w:t>
      </w:r>
      <w:r w:rsidRPr="00FD642B">
        <w:rPr>
          <w:rFonts w:cs="Arial"/>
        </w:rPr>
        <w:t xml:space="preserve">expected capital activities (as required by the CIPFA Prudential Code for Capital Finance in Local Authorities).  </w:t>
      </w:r>
    </w:p>
    <w:p w:rsidR="00B961C0" w:rsidRPr="00F20019" w:rsidRDefault="00B961C0" w:rsidP="00B961C0">
      <w:pPr>
        <w:pStyle w:val="ListParagraph"/>
        <w:numPr>
          <w:ilvl w:val="0"/>
          <w:numId w:val="42"/>
        </w:numPr>
        <w:tabs>
          <w:tab w:val="clear" w:pos="426"/>
        </w:tabs>
        <w:ind w:left="1276" w:hanging="425"/>
        <w:rPr>
          <w:rFonts w:cs="Arial"/>
        </w:rPr>
      </w:pPr>
      <w:r w:rsidRPr="00F20019">
        <w:rPr>
          <w:rFonts w:cs="Arial"/>
        </w:rPr>
        <w:t>Agreeing the Council’s Minimum Revenue Provision (MRP) Policy, which sets out how the Council will pay for capital assets through revenue each year (as required by guidance under the Local Government and Public Involvement in Health Act 2007).</w:t>
      </w:r>
    </w:p>
    <w:p w:rsidR="00B961C0" w:rsidRDefault="00B961C0" w:rsidP="00B961C0">
      <w:pPr>
        <w:pStyle w:val="ListParagraph"/>
        <w:numPr>
          <w:ilvl w:val="0"/>
          <w:numId w:val="42"/>
        </w:numPr>
        <w:tabs>
          <w:tab w:val="clear" w:pos="426"/>
        </w:tabs>
        <w:ind w:left="1276" w:hanging="425"/>
        <w:rPr>
          <w:rFonts w:cs="Arial"/>
        </w:rPr>
      </w:pPr>
      <w:r w:rsidRPr="00C75777">
        <w:rPr>
          <w:rFonts w:cs="Arial"/>
        </w:rPr>
        <w:t xml:space="preserve">Agreeing the Treasury Management Strategy, </w:t>
      </w:r>
      <w:proofErr w:type="gramStart"/>
      <w:r w:rsidRPr="00C75777">
        <w:rPr>
          <w:rFonts w:cs="Arial"/>
        </w:rPr>
        <w:t xml:space="preserve">which </w:t>
      </w:r>
      <w:r>
        <w:rPr>
          <w:rFonts w:cs="Arial"/>
        </w:rPr>
        <w:t>links</w:t>
      </w:r>
      <w:r w:rsidRPr="00C75777">
        <w:rPr>
          <w:rFonts w:cs="Arial"/>
        </w:rPr>
        <w:t xml:space="preserve"> </w:t>
      </w:r>
      <w:r>
        <w:rPr>
          <w:rFonts w:cs="Arial"/>
        </w:rPr>
        <w:t>day to day Treasury Management</w:t>
      </w:r>
      <w:r w:rsidRPr="00C75777">
        <w:rPr>
          <w:rFonts w:cs="Arial"/>
        </w:rPr>
        <w:t xml:space="preserve"> </w:t>
      </w:r>
      <w:r>
        <w:rPr>
          <w:rFonts w:cs="Arial"/>
        </w:rPr>
        <w:t>to the Capital Programme and the T</w:t>
      </w:r>
      <w:r w:rsidRPr="00C75777">
        <w:rPr>
          <w:rFonts w:cs="Arial"/>
        </w:rPr>
        <w:t xml:space="preserve">reasury </w:t>
      </w:r>
      <w:r>
        <w:rPr>
          <w:rFonts w:cs="Arial"/>
        </w:rPr>
        <w:t>Management P</w:t>
      </w:r>
      <w:r w:rsidRPr="00C75777">
        <w:rPr>
          <w:rFonts w:cs="Arial"/>
        </w:rPr>
        <w:t xml:space="preserve">rudential </w:t>
      </w:r>
      <w:r>
        <w:rPr>
          <w:rFonts w:cs="Arial"/>
        </w:rPr>
        <w:t>I</w:t>
      </w:r>
      <w:r w:rsidRPr="00C75777">
        <w:rPr>
          <w:rFonts w:cs="Arial"/>
        </w:rPr>
        <w:t>ndicators.</w:t>
      </w:r>
      <w:proofErr w:type="gramEnd"/>
      <w:r w:rsidRPr="00C75777">
        <w:rPr>
          <w:rFonts w:cs="Arial"/>
        </w:rPr>
        <w:t xml:space="preserve">  The key indicator is the Authorised Limit, the maximum amount of debt the </w:t>
      </w:r>
      <w:r>
        <w:rPr>
          <w:rFonts w:cs="Arial"/>
        </w:rPr>
        <w:t>Council</w:t>
      </w:r>
      <w:r w:rsidRPr="00C75777">
        <w:rPr>
          <w:rFonts w:cs="Arial"/>
        </w:rPr>
        <w:t xml:space="preserve"> could afford in the short term, but which would not be sustainable in the longer term.  This is the Affordable Borrowing limit required by S3 of the Local Government Act 2003. </w:t>
      </w:r>
    </w:p>
    <w:p w:rsidR="00B961C0" w:rsidRDefault="00B961C0" w:rsidP="00B961C0">
      <w:pPr>
        <w:pStyle w:val="ListParagraph"/>
        <w:numPr>
          <w:ilvl w:val="0"/>
          <w:numId w:val="42"/>
        </w:numPr>
        <w:tabs>
          <w:tab w:val="clear" w:pos="426"/>
        </w:tabs>
        <w:ind w:left="1276" w:hanging="425"/>
        <w:rPr>
          <w:rFonts w:cs="Arial"/>
        </w:rPr>
      </w:pPr>
      <w:r w:rsidRPr="00B961C0">
        <w:rPr>
          <w:rFonts w:cs="Arial"/>
        </w:rPr>
        <w:t>Agreeing the Investment Strategy, this sets out the Council’s criteria for choosing investment counterparties and limiting exposure to the risk of loss.</w:t>
      </w:r>
    </w:p>
    <w:p w:rsidR="00B961C0" w:rsidRDefault="00B961C0" w:rsidP="00B961C0">
      <w:pPr>
        <w:numPr>
          <w:ilvl w:val="0"/>
          <w:numId w:val="34"/>
        </w:numPr>
        <w:spacing w:after="0"/>
        <w:contextualSpacing/>
        <w:rPr>
          <w:rFonts w:cs="Arial"/>
          <w:color w:val="auto"/>
          <w:lang w:eastAsia="en-US"/>
        </w:rPr>
      </w:pPr>
      <w:r w:rsidRPr="00B961C0">
        <w:rPr>
          <w:rFonts w:cs="Arial"/>
          <w:color w:val="auto"/>
          <w:lang w:eastAsia="en-US"/>
        </w:rPr>
        <w:t>The Local Government Act 2003 and supporting regulations require the Council to have regard to the CIPFA Prudential Code and the CIPFA Treasury Management Code of Practice to set prudential and treasury indicators to ensure that the Council’s capital investment plans are affordable, prudent and sustainable.</w:t>
      </w:r>
    </w:p>
    <w:p w:rsidR="00B961C0" w:rsidRDefault="00B961C0" w:rsidP="00B961C0">
      <w:pPr>
        <w:spacing w:after="0"/>
        <w:ind w:left="360"/>
        <w:contextualSpacing/>
        <w:rPr>
          <w:rFonts w:cs="Arial"/>
          <w:color w:val="auto"/>
          <w:lang w:eastAsia="en-US"/>
        </w:rPr>
      </w:pPr>
    </w:p>
    <w:p w:rsidR="00B961C0" w:rsidRDefault="00B961C0" w:rsidP="00B961C0">
      <w:pPr>
        <w:numPr>
          <w:ilvl w:val="0"/>
          <w:numId w:val="34"/>
        </w:numPr>
        <w:spacing w:after="0"/>
        <w:contextualSpacing/>
        <w:rPr>
          <w:rFonts w:cs="Arial"/>
          <w:color w:val="auto"/>
          <w:lang w:eastAsia="en-US"/>
        </w:rPr>
      </w:pPr>
      <w:r w:rsidRPr="00B961C0">
        <w:rPr>
          <w:rFonts w:cs="Arial"/>
          <w:color w:val="auto"/>
          <w:lang w:eastAsia="en-US"/>
        </w:rPr>
        <w:t xml:space="preserve">The </w:t>
      </w:r>
      <w:r w:rsidR="001250F2">
        <w:rPr>
          <w:rFonts w:cs="Arial"/>
          <w:color w:val="auto"/>
          <w:lang w:eastAsia="en-US"/>
        </w:rPr>
        <w:t xml:space="preserve">Council’s </w:t>
      </w:r>
      <w:r w:rsidRPr="00B961C0">
        <w:rPr>
          <w:rFonts w:cs="Arial"/>
          <w:color w:val="auto"/>
          <w:lang w:eastAsia="en-US"/>
        </w:rPr>
        <w:t>Constitution requires the Strategy to be reported to the City Executive Board and Full Council outlining the expected treasury activity for the forthcoming four years on an annual basis.</w:t>
      </w:r>
    </w:p>
    <w:p w:rsidR="00670327" w:rsidRPr="001356F1" w:rsidRDefault="00670327" w:rsidP="00670327">
      <w:pPr>
        <w:pStyle w:val="Heading1"/>
      </w:pPr>
      <w:r w:rsidRPr="001356F1">
        <w:t>Level of risk</w:t>
      </w:r>
    </w:p>
    <w:p w:rsidR="00670327" w:rsidRDefault="00670327" w:rsidP="00B961C0">
      <w:pPr>
        <w:numPr>
          <w:ilvl w:val="0"/>
          <w:numId w:val="34"/>
        </w:numPr>
        <w:spacing w:after="0"/>
        <w:contextualSpacing/>
        <w:rPr>
          <w:rFonts w:cs="Arial"/>
          <w:color w:val="auto"/>
          <w:lang w:eastAsia="en-US"/>
        </w:rPr>
      </w:pPr>
      <w:r>
        <w:rPr>
          <w:rFonts w:cs="Arial"/>
          <w:color w:val="auto"/>
          <w:lang w:eastAsia="en-US"/>
        </w:rPr>
        <w:t>The risk register is attached at Appendix 3.</w:t>
      </w:r>
    </w:p>
    <w:p w:rsidR="00670327" w:rsidRPr="001356F1" w:rsidRDefault="00670327" w:rsidP="00670327">
      <w:pPr>
        <w:pStyle w:val="Heading1"/>
      </w:pPr>
      <w:r w:rsidRPr="001356F1">
        <w:t xml:space="preserve">Equalities impact </w:t>
      </w:r>
    </w:p>
    <w:p w:rsidR="00670327" w:rsidRDefault="00670327" w:rsidP="00B961C0">
      <w:pPr>
        <w:numPr>
          <w:ilvl w:val="0"/>
          <w:numId w:val="34"/>
        </w:numPr>
        <w:spacing w:after="0"/>
        <w:contextualSpacing/>
        <w:rPr>
          <w:rFonts w:cs="Arial"/>
          <w:color w:val="auto"/>
          <w:lang w:eastAsia="en-US"/>
        </w:rPr>
      </w:pPr>
      <w:r w:rsidRPr="00670327">
        <w:rPr>
          <w:rFonts w:cs="Arial"/>
          <w:color w:val="auto"/>
          <w:lang w:eastAsia="en-US"/>
        </w:rPr>
        <w:t xml:space="preserve">There </w:t>
      </w:r>
      <w:r>
        <w:rPr>
          <w:rFonts w:cs="Arial"/>
          <w:color w:val="auto"/>
          <w:lang w:eastAsia="en-US"/>
        </w:rPr>
        <w:t>are</w:t>
      </w:r>
      <w:r w:rsidRPr="00670327">
        <w:rPr>
          <w:rFonts w:cs="Arial"/>
          <w:color w:val="auto"/>
          <w:lang w:eastAsia="en-US"/>
        </w:rPr>
        <w:t xml:space="preserve"> no equalities impact</w:t>
      </w:r>
      <w:r>
        <w:rPr>
          <w:rFonts w:cs="Arial"/>
          <w:color w:val="auto"/>
          <w:lang w:eastAsia="en-US"/>
        </w:rPr>
        <w:t>s</w:t>
      </w:r>
      <w:r w:rsidRPr="00670327">
        <w:rPr>
          <w:rFonts w:cs="Arial"/>
          <w:color w:val="auto"/>
          <w:lang w:eastAsia="en-US"/>
        </w:rPr>
        <w:t xml:space="preserve"> relating to this report.</w:t>
      </w:r>
    </w:p>
    <w:p w:rsidR="00B961C0" w:rsidRPr="00D71D8D" w:rsidRDefault="00B961C0" w:rsidP="00B961C0">
      <w:pPr>
        <w:spacing w:after="0"/>
        <w:ind w:left="360"/>
        <w:contextualSpacing/>
        <w:rPr>
          <w:rFonts w:cs="Arial"/>
          <w:color w:val="auto"/>
          <w:lang w:eastAsia="en-US"/>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670327" w:rsidP="00A46E98">
            <w:r w:rsidRPr="00670327">
              <w:t>Bill Lewis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670327" w:rsidP="00A46E98">
            <w:r w:rsidRPr="00670327">
              <w:t>Financial Accounting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670327" w:rsidP="00A46E98">
            <w:r w:rsidRPr="00670327">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670327" w:rsidP="00A46E98">
            <w:r w:rsidRPr="00670327">
              <w:t>01865 252607</w:t>
            </w:r>
          </w:p>
        </w:tc>
      </w:tr>
      <w:tr w:rsidR="00670327" w:rsidRPr="00670327"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670327" w:rsidRDefault="00E87F7A" w:rsidP="00A46E98">
            <w:pPr>
              <w:rPr>
                <w:color w:val="auto"/>
              </w:rPr>
            </w:pPr>
            <w:r w:rsidRPr="00670327">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670327" w:rsidRPr="00670327" w:rsidRDefault="00A16B23" w:rsidP="00A46E98">
            <w:pPr>
              <w:rPr>
                <w:rStyle w:val="Hyperlink"/>
                <w:color w:val="auto"/>
              </w:rPr>
            </w:pPr>
            <w:hyperlink r:id="rId9" w:history="1">
              <w:r w:rsidR="00670327" w:rsidRPr="00670327">
                <w:rPr>
                  <w:rStyle w:val="Hyperlink"/>
                  <w:color w:val="auto"/>
                </w:rPr>
                <w:t>blewis@oxford.gov.uk</w:t>
              </w:r>
            </w:hyperlink>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4456DD" w:rsidRPr="009E51FC" w:rsidRDefault="004456DD" w:rsidP="0093067A"/>
    <w:sectPr w:rsidR="004456DD" w:rsidRPr="009E51FC"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931" w:rsidRDefault="009B1931" w:rsidP="004A6D2F">
      <w:r>
        <w:separator/>
      </w:r>
    </w:p>
  </w:endnote>
  <w:endnote w:type="continuationSeparator" w:id="0">
    <w:p w:rsidR="009B1931" w:rsidRDefault="009B193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27" w:rsidRDefault="00670327" w:rsidP="004A6D2F">
    <w:pPr>
      <w:pStyle w:val="Footer"/>
    </w:pPr>
    <w:r>
      <w:t>Do not use a footer or page numbers.</w:t>
    </w:r>
  </w:p>
  <w:p w:rsidR="00670327" w:rsidRDefault="00670327" w:rsidP="004A6D2F">
    <w:pPr>
      <w:pStyle w:val="Footer"/>
    </w:pPr>
  </w:p>
  <w:p w:rsidR="00670327" w:rsidRDefault="00670327"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27" w:rsidRDefault="00670327"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931" w:rsidRDefault="009B1931" w:rsidP="004A6D2F">
      <w:r>
        <w:separator/>
      </w:r>
    </w:p>
  </w:footnote>
  <w:footnote w:type="continuationSeparator" w:id="0">
    <w:p w:rsidR="009B1931" w:rsidRDefault="009B1931" w:rsidP="004A6D2F">
      <w:r>
        <w:continuationSeparator/>
      </w:r>
    </w:p>
  </w:footnote>
  <w:footnote w:id="1">
    <w:p w:rsidR="00670327" w:rsidRDefault="00670327" w:rsidP="00D71D8D">
      <w:pPr>
        <w:pStyle w:val="FootnoteText"/>
      </w:pPr>
      <w:r>
        <w:rPr>
          <w:rStyle w:val="FootnoteReference"/>
        </w:rPr>
        <w:footnoteRef/>
      </w:r>
      <w:r>
        <w:t xml:space="preserve"> Supported Capital Expenditure means the total amount of capital expenditure which a local authority has been notified by Government will be given as part of the grant payment</w:t>
      </w:r>
    </w:p>
  </w:footnote>
  <w:footnote w:id="2">
    <w:p w:rsidR="00670327" w:rsidRDefault="00670327" w:rsidP="00D71D8D">
      <w:pPr>
        <w:pStyle w:val="FootnoteText"/>
      </w:pPr>
      <w:r>
        <w:rPr>
          <w:rStyle w:val="FootnoteReference"/>
        </w:rPr>
        <w:footnoteRef/>
      </w:r>
      <w:r>
        <w:t xml:space="preserve"> Unsupported borrowing is any borrowing not covered by Government grants.</w:t>
      </w:r>
    </w:p>
  </w:footnote>
  <w:footnote w:id="3">
    <w:p w:rsidR="00670327" w:rsidRDefault="00670327" w:rsidP="00D71D8D">
      <w:pPr>
        <w:pStyle w:val="FootnoteText"/>
      </w:pPr>
      <w:r>
        <w:rPr>
          <w:rStyle w:val="FootnoteReference"/>
        </w:rPr>
        <w:footnoteRef/>
      </w:r>
      <w:r>
        <w:t xml:space="preserve"> A financial swap agreement that the seller of the CDS will compensate the buyer in the event of default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27" w:rsidRDefault="00670327" w:rsidP="00D5547E">
    <w:pPr>
      <w:pStyle w:val="Header"/>
      <w:jc w:val="right"/>
    </w:pPr>
    <w:r>
      <w:rPr>
        <w:noProof/>
      </w:rPr>
      <w:drawing>
        <wp:inline distT="0" distB="0" distL="0" distR="0" wp14:anchorId="6219DEE8" wp14:editId="15895FB2">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BCB736E"/>
    <w:multiLevelType w:val="hybridMultilevel"/>
    <w:tmpl w:val="3EBAD6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1E293501"/>
    <w:multiLevelType w:val="hybridMultilevel"/>
    <w:tmpl w:val="3DE4D60A"/>
    <w:lvl w:ilvl="0" w:tplc="08090001">
      <w:start w:val="1"/>
      <w:numFmt w:val="bullet"/>
      <w:lvlText w:val=""/>
      <w:lvlJc w:val="left"/>
      <w:pPr>
        <w:ind w:left="2227" w:hanging="360"/>
      </w:pPr>
      <w:rPr>
        <w:rFonts w:ascii="Symbol" w:hAnsi="Symbol" w:hint="default"/>
      </w:rPr>
    </w:lvl>
    <w:lvl w:ilvl="1" w:tplc="08090003" w:tentative="1">
      <w:start w:val="1"/>
      <w:numFmt w:val="bullet"/>
      <w:lvlText w:val="o"/>
      <w:lvlJc w:val="left"/>
      <w:pPr>
        <w:ind w:left="2947" w:hanging="360"/>
      </w:pPr>
      <w:rPr>
        <w:rFonts w:ascii="Courier New" w:hAnsi="Courier New" w:cs="Courier New" w:hint="default"/>
      </w:rPr>
    </w:lvl>
    <w:lvl w:ilvl="2" w:tplc="08090005" w:tentative="1">
      <w:start w:val="1"/>
      <w:numFmt w:val="bullet"/>
      <w:lvlText w:val=""/>
      <w:lvlJc w:val="left"/>
      <w:pPr>
        <w:ind w:left="3667" w:hanging="360"/>
      </w:pPr>
      <w:rPr>
        <w:rFonts w:ascii="Wingdings" w:hAnsi="Wingdings" w:hint="default"/>
      </w:rPr>
    </w:lvl>
    <w:lvl w:ilvl="3" w:tplc="08090001" w:tentative="1">
      <w:start w:val="1"/>
      <w:numFmt w:val="bullet"/>
      <w:lvlText w:val=""/>
      <w:lvlJc w:val="left"/>
      <w:pPr>
        <w:ind w:left="4387" w:hanging="360"/>
      </w:pPr>
      <w:rPr>
        <w:rFonts w:ascii="Symbol" w:hAnsi="Symbol" w:hint="default"/>
      </w:rPr>
    </w:lvl>
    <w:lvl w:ilvl="4" w:tplc="08090003" w:tentative="1">
      <w:start w:val="1"/>
      <w:numFmt w:val="bullet"/>
      <w:lvlText w:val="o"/>
      <w:lvlJc w:val="left"/>
      <w:pPr>
        <w:ind w:left="5107" w:hanging="360"/>
      </w:pPr>
      <w:rPr>
        <w:rFonts w:ascii="Courier New" w:hAnsi="Courier New" w:cs="Courier New" w:hint="default"/>
      </w:rPr>
    </w:lvl>
    <w:lvl w:ilvl="5" w:tplc="08090005" w:tentative="1">
      <w:start w:val="1"/>
      <w:numFmt w:val="bullet"/>
      <w:lvlText w:val=""/>
      <w:lvlJc w:val="left"/>
      <w:pPr>
        <w:ind w:left="5827" w:hanging="360"/>
      </w:pPr>
      <w:rPr>
        <w:rFonts w:ascii="Wingdings" w:hAnsi="Wingdings" w:hint="default"/>
      </w:rPr>
    </w:lvl>
    <w:lvl w:ilvl="6" w:tplc="08090001" w:tentative="1">
      <w:start w:val="1"/>
      <w:numFmt w:val="bullet"/>
      <w:lvlText w:val=""/>
      <w:lvlJc w:val="left"/>
      <w:pPr>
        <w:ind w:left="6547" w:hanging="360"/>
      </w:pPr>
      <w:rPr>
        <w:rFonts w:ascii="Symbol" w:hAnsi="Symbol" w:hint="default"/>
      </w:rPr>
    </w:lvl>
    <w:lvl w:ilvl="7" w:tplc="08090003" w:tentative="1">
      <w:start w:val="1"/>
      <w:numFmt w:val="bullet"/>
      <w:lvlText w:val="o"/>
      <w:lvlJc w:val="left"/>
      <w:pPr>
        <w:ind w:left="7267" w:hanging="360"/>
      </w:pPr>
      <w:rPr>
        <w:rFonts w:ascii="Courier New" w:hAnsi="Courier New" w:cs="Courier New" w:hint="default"/>
      </w:rPr>
    </w:lvl>
    <w:lvl w:ilvl="8" w:tplc="08090005" w:tentative="1">
      <w:start w:val="1"/>
      <w:numFmt w:val="bullet"/>
      <w:lvlText w:val=""/>
      <w:lvlJc w:val="left"/>
      <w:pPr>
        <w:ind w:left="7987" w:hanging="360"/>
      </w:pPr>
      <w:rPr>
        <w:rFonts w:ascii="Wingdings" w:hAnsi="Wingdings" w:hint="default"/>
      </w:r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4D75955"/>
    <w:multiLevelType w:val="hybridMultilevel"/>
    <w:tmpl w:val="D9CE3B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8A145BF"/>
    <w:multiLevelType w:val="hybridMultilevel"/>
    <w:tmpl w:val="FFBA11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BF6C13"/>
    <w:multiLevelType w:val="hybridMultilevel"/>
    <w:tmpl w:val="A3FEC9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4BA4D6D"/>
    <w:multiLevelType w:val="hybridMultilevel"/>
    <w:tmpl w:val="2168E812"/>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28">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C8B276A"/>
    <w:multiLevelType w:val="hybridMultilevel"/>
    <w:tmpl w:val="6A584B64"/>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1">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501B94"/>
    <w:multiLevelType w:val="hybridMultilevel"/>
    <w:tmpl w:val="4AD8B0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ABA5FD8"/>
    <w:multiLevelType w:val="multilevel"/>
    <w:tmpl w:val="43D6D2FA"/>
    <w:numStyleLink w:val="StyleBulletedSymbolsymbolLeft063cmHanging063cm"/>
  </w:abstractNum>
  <w:abstractNum w:abstractNumId="35">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A22831"/>
    <w:multiLevelType w:val="multilevel"/>
    <w:tmpl w:val="43D6D2FA"/>
    <w:numStyleLink w:val="StyleBulletedSymbolsymbolLeft063cmHanging063cm"/>
  </w:abstractNum>
  <w:abstractNum w:abstractNumId="37">
    <w:nsid w:val="62C726AF"/>
    <w:multiLevelType w:val="hybridMultilevel"/>
    <w:tmpl w:val="A910671A"/>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38">
    <w:nsid w:val="685C61CA"/>
    <w:multiLevelType w:val="hybridMultilevel"/>
    <w:tmpl w:val="ADD4277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9">
    <w:nsid w:val="68B703A8"/>
    <w:multiLevelType w:val="hybridMultilevel"/>
    <w:tmpl w:val="E19A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3B37082"/>
    <w:multiLevelType w:val="hybridMultilevel"/>
    <w:tmpl w:val="174AD4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4CE5FCF"/>
    <w:multiLevelType w:val="hybridMultilevel"/>
    <w:tmpl w:val="9CE448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98365C6"/>
    <w:multiLevelType w:val="multilevel"/>
    <w:tmpl w:val="E67CE66C"/>
    <w:numStyleLink w:val="StyleNumberedLeft0cmHanging075cm"/>
  </w:abstractNum>
  <w:abstractNum w:abstractNumId="46">
    <w:nsid w:val="7D6D135E"/>
    <w:multiLevelType w:val="hybridMultilevel"/>
    <w:tmpl w:val="7B7A9EB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3"/>
  </w:num>
  <w:num w:numId="2">
    <w:abstractNumId w:val="41"/>
  </w:num>
  <w:num w:numId="3">
    <w:abstractNumId w:val="28"/>
  </w:num>
  <w:num w:numId="4">
    <w:abstractNumId w:val="20"/>
  </w:num>
  <w:num w:numId="5">
    <w:abstractNumId w:val="35"/>
  </w:num>
  <w:num w:numId="6">
    <w:abstractNumId w:val="42"/>
  </w:num>
  <w:num w:numId="7">
    <w:abstractNumId w:val="26"/>
  </w:num>
  <w:num w:numId="8">
    <w:abstractNumId w:val="23"/>
  </w:num>
  <w:num w:numId="9">
    <w:abstractNumId w:val="13"/>
  </w:num>
  <w:num w:numId="10">
    <w:abstractNumId w:val="17"/>
  </w:num>
  <w:num w:numId="11">
    <w:abstractNumId w:val="31"/>
  </w:num>
  <w:num w:numId="12">
    <w:abstractNumId w:val="29"/>
  </w:num>
  <w:num w:numId="13">
    <w:abstractNumId w:val="10"/>
  </w:num>
  <w:num w:numId="14">
    <w:abstractNumId w:val="45"/>
  </w:num>
  <w:num w:numId="15">
    <w:abstractNumId w:val="18"/>
  </w:num>
  <w:num w:numId="16">
    <w:abstractNumId w:val="11"/>
  </w:num>
  <w:num w:numId="17">
    <w:abstractNumId w:val="34"/>
  </w:num>
  <w:num w:numId="18">
    <w:abstractNumId w:val="12"/>
  </w:num>
  <w:num w:numId="19">
    <w:abstractNumId w:val="36"/>
  </w:num>
  <w:num w:numId="20">
    <w:abstractNumId w:val="19"/>
  </w:num>
  <w:num w:numId="21">
    <w:abstractNumId w:val="25"/>
  </w:num>
  <w:num w:numId="22">
    <w:abstractNumId w:val="14"/>
  </w:num>
  <w:num w:numId="23">
    <w:abstractNumId w:val="4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46"/>
  </w:num>
  <w:num w:numId="35">
    <w:abstractNumId w:val="44"/>
  </w:num>
  <w:num w:numId="36">
    <w:abstractNumId w:val="21"/>
  </w:num>
  <w:num w:numId="37">
    <w:abstractNumId w:val="22"/>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16"/>
  </w:num>
  <w:num w:numId="41">
    <w:abstractNumId w:val="43"/>
  </w:num>
  <w:num w:numId="42">
    <w:abstractNumId w:val="27"/>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30"/>
  </w:num>
  <w:num w:numId="46">
    <w:abstractNumId w:val="38"/>
  </w:num>
  <w:num w:numId="47">
    <w:abstractNumId w:val="32"/>
  </w:num>
  <w:num w:numId="48">
    <w:abstractNumId w:val="15"/>
  </w:num>
  <w:num w:numId="49">
    <w:abstractNumId w:val="2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yates">
    <w15:presenceInfo w15:providerId="None" w15:userId="Jy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0297"/>
    <w:rsid w:val="000117D4"/>
    <w:rsid w:val="000145E5"/>
    <w:rsid w:val="00014ACC"/>
    <w:rsid w:val="000314D7"/>
    <w:rsid w:val="00045F8B"/>
    <w:rsid w:val="00046C9C"/>
    <w:rsid w:val="00046D2B"/>
    <w:rsid w:val="00056263"/>
    <w:rsid w:val="00061EFC"/>
    <w:rsid w:val="00064D8A"/>
    <w:rsid w:val="00064F82"/>
    <w:rsid w:val="00066510"/>
    <w:rsid w:val="00074C39"/>
    <w:rsid w:val="00077523"/>
    <w:rsid w:val="000A41E7"/>
    <w:rsid w:val="000C089F"/>
    <w:rsid w:val="000C3928"/>
    <w:rsid w:val="000C5E8E"/>
    <w:rsid w:val="000F4751"/>
    <w:rsid w:val="0010524C"/>
    <w:rsid w:val="00111FB1"/>
    <w:rsid w:val="00113418"/>
    <w:rsid w:val="001250F2"/>
    <w:rsid w:val="00125561"/>
    <w:rsid w:val="001356F1"/>
    <w:rsid w:val="00136994"/>
    <w:rsid w:val="0014128E"/>
    <w:rsid w:val="00151888"/>
    <w:rsid w:val="001545B2"/>
    <w:rsid w:val="00170A2D"/>
    <w:rsid w:val="0017255D"/>
    <w:rsid w:val="0017543A"/>
    <w:rsid w:val="001808BC"/>
    <w:rsid w:val="00182B81"/>
    <w:rsid w:val="0018619D"/>
    <w:rsid w:val="001A011E"/>
    <w:rsid w:val="001A066A"/>
    <w:rsid w:val="001A13E6"/>
    <w:rsid w:val="001A5731"/>
    <w:rsid w:val="001B42C3"/>
    <w:rsid w:val="001C3ACB"/>
    <w:rsid w:val="001C5D5E"/>
    <w:rsid w:val="001D678D"/>
    <w:rsid w:val="001E03F8"/>
    <w:rsid w:val="001E1678"/>
    <w:rsid w:val="001E2D58"/>
    <w:rsid w:val="001E3376"/>
    <w:rsid w:val="002069B3"/>
    <w:rsid w:val="00220389"/>
    <w:rsid w:val="002329CF"/>
    <w:rsid w:val="00232F5B"/>
    <w:rsid w:val="00236CBB"/>
    <w:rsid w:val="00247C29"/>
    <w:rsid w:val="00260467"/>
    <w:rsid w:val="002606B4"/>
    <w:rsid w:val="00263EA3"/>
    <w:rsid w:val="0026510E"/>
    <w:rsid w:val="00275A32"/>
    <w:rsid w:val="00284F85"/>
    <w:rsid w:val="00290915"/>
    <w:rsid w:val="002A22E2"/>
    <w:rsid w:val="002B0E44"/>
    <w:rsid w:val="002C64F7"/>
    <w:rsid w:val="002F41F2"/>
    <w:rsid w:val="002F4A90"/>
    <w:rsid w:val="00301BF3"/>
    <w:rsid w:val="0030208D"/>
    <w:rsid w:val="003145DA"/>
    <w:rsid w:val="00323418"/>
    <w:rsid w:val="003335D8"/>
    <w:rsid w:val="003357BF"/>
    <w:rsid w:val="00346536"/>
    <w:rsid w:val="00364FAD"/>
    <w:rsid w:val="0036738F"/>
    <w:rsid w:val="0036759C"/>
    <w:rsid w:val="00367AE5"/>
    <w:rsid w:val="00367D71"/>
    <w:rsid w:val="0038150A"/>
    <w:rsid w:val="00393FAD"/>
    <w:rsid w:val="003A1F4B"/>
    <w:rsid w:val="003B6E75"/>
    <w:rsid w:val="003B7DA1"/>
    <w:rsid w:val="003D0379"/>
    <w:rsid w:val="003D0A7D"/>
    <w:rsid w:val="003D2574"/>
    <w:rsid w:val="003D4C59"/>
    <w:rsid w:val="003E4817"/>
    <w:rsid w:val="003F4267"/>
    <w:rsid w:val="00404032"/>
    <w:rsid w:val="0040736F"/>
    <w:rsid w:val="00412C1F"/>
    <w:rsid w:val="00413FD8"/>
    <w:rsid w:val="00421CB2"/>
    <w:rsid w:val="004268B9"/>
    <w:rsid w:val="00433B96"/>
    <w:rsid w:val="004440F1"/>
    <w:rsid w:val="004456DD"/>
    <w:rsid w:val="00446CDF"/>
    <w:rsid w:val="004521B7"/>
    <w:rsid w:val="00462AB5"/>
    <w:rsid w:val="00465EAF"/>
    <w:rsid w:val="004738C5"/>
    <w:rsid w:val="00491046"/>
    <w:rsid w:val="00494F60"/>
    <w:rsid w:val="004A2AC7"/>
    <w:rsid w:val="004A3128"/>
    <w:rsid w:val="004A6D2F"/>
    <w:rsid w:val="004C2887"/>
    <w:rsid w:val="004D2626"/>
    <w:rsid w:val="004D6E26"/>
    <w:rsid w:val="004D77D3"/>
    <w:rsid w:val="004E2959"/>
    <w:rsid w:val="004F20EF"/>
    <w:rsid w:val="0050321C"/>
    <w:rsid w:val="00505A35"/>
    <w:rsid w:val="0051623E"/>
    <w:rsid w:val="0054712D"/>
    <w:rsid w:val="00547EF6"/>
    <w:rsid w:val="005570B5"/>
    <w:rsid w:val="00567E18"/>
    <w:rsid w:val="00575F5F"/>
    <w:rsid w:val="00581805"/>
    <w:rsid w:val="00585F76"/>
    <w:rsid w:val="005A34E4"/>
    <w:rsid w:val="005A5DF8"/>
    <w:rsid w:val="005B17F2"/>
    <w:rsid w:val="005B7FB0"/>
    <w:rsid w:val="005C35A5"/>
    <w:rsid w:val="005C577C"/>
    <w:rsid w:val="005D0621"/>
    <w:rsid w:val="005D19A1"/>
    <w:rsid w:val="005D1E27"/>
    <w:rsid w:val="005D2A3E"/>
    <w:rsid w:val="005D4197"/>
    <w:rsid w:val="005E022E"/>
    <w:rsid w:val="005E5215"/>
    <w:rsid w:val="005F69DF"/>
    <w:rsid w:val="005F7F7E"/>
    <w:rsid w:val="00614693"/>
    <w:rsid w:val="0062055D"/>
    <w:rsid w:val="00623C2F"/>
    <w:rsid w:val="00633578"/>
    <w:rsid w:val="00637068"/>
    <w:rsid w:val="00647AD2"/>
    <w:rsid w:val="00650811"/>
    <w:rsid w:val="00661D3E"/>
    <w:rsid w:val="00670327"/>
    <w:rsid w:val="00692627"/>
    <w:rsid w:val="006969E7"/>
    <w:rsid w:val="006A3643"/>
    <w:rsid w:val="006B0ED4"/>
    <w:rsid w:val="006B1A64"/>
    <w:rsid w:val="006C2A29"/>
    <w:rsid w:val="006C64CF"/>
    <w:rsid w:val="006D17B1"/>
    <w:rsid w:val="006D4752"/>
    <w:rsid w:val="006D708A"/>
    <w:rsid w:val="006E14C1"/>
    <w:rsid w:val="006F0292"/>
    <w:rsid w:val="006F27FA"/>
    <w:rsid w:val="006F416B"/>
    <w:rsid w:val="006F519B"/>
    <w:rsid w:val="00713675"/>
    <w:rsid w:val="00715823"/>
    <w:rsid w:val="00716D5C"/>
    <w:rsid w:val="00737B93"/>
    <w:rsid w:val="00745BF0"/>
    <w:rsid w:val="007615FE"/>
    <w:rsid w:val="0076655C"/>
    <w:rsid w:val="007742DC"/>
    <w:rsid w:val="00782593"/>
    <w:rsid w:val="00791437"/>
    <w:rsid w:val="007B0C2C"/>
    <w:rsid w:val="007B255A"/>
    <w:rsid w:val="007B278E"/>
    <w:rsid w:val="007C5C23"/>
    <w:rsid w:val="007E2A26"/>
    <w:rsid w:val="007F2348"/>
    <w:rsid w:val="00803F07"/>
    <w:rsid w:val="0080749A"/>
    <w:rsid w:val="00810290"/>
    <w:rsid w:val="00821FB8"/>
    <w:rsid w:val="00822ACD"/>
    <w:rsid w:val="00855C66"/>
    <w:rsid w:val="00871EE4"/>
    <w:rsid w:val="008B293F"/>
    <w:rsid w:val="008B7371"/>
    <w:rsid w:val="008D3DDB"/>
    <w:rsid w:val="008D51B8"/>
    <w:rsid w:val="008F1F9D"/>
    <w:rsid w:val="008F573F"/>
    <w:rsid w:val="009010D8"/>
    <w:rsid w:val="009034EC"/>
    <w:rsid w:val="0093067A"/>
    <w:rsid w:val="00941C60"/>
    <w:rsid w:val="00966D42"/>
    <w:rsid w:val="00971689"/>
    <w:rsid w:val="00973E90"/>
    <w:rsid w:val="00975B07"/>
    <w:rsid w:val="00980B4A"/>
    <w:rsid w:val="00986C3E"/>
    <w:rsid w:val="0099552F"/>
    <w:rsid w:val="009B1931"/>
    <w:rsid w:val="009B6195"/>
    <w:rsid w:val="009E3D0A"/>
    <w:rsid w:val="009E51FC"/>
    <w:rsid w:val="009F1D28"/>
    <w:rsid w:val="009F7618"/>
    <w:rsid w:val="00A0239F"/>
    <w:rsid w:val="00A04D23"/>
    <w:rsid w:val="00A06766"/>
    <w:rsid w:val="00A13765"/>
    <w:rsid w:val="00A167E5"/>
    <w:rsid w:val="00A16B23"/>
    <w:rsid w:val="00A21637"/>
    <w:rsid w:val="00A21B12"/>
    <w:rsid w:val="00A23F80"/>
    <w:rsid w:val="00A23FEE"/>
    <w:rsid w:val="00A46E98"/>
    <w:rsid w:val="00A6352B"/>
    <w:rsid w:val="00A701B5"/>
    <w:rsid w:val="00A714BB"/>
    <w:rsid w:val="00A92D8F"/>
    <w:rsid w:val="00AA77C5"/>
    <w:rsid w:val="00AB2988"/>
    <w:rsid w:val="00AB7999"/>
    <w:rsid w:val="00AD3292"/>
    <w:rsid w:val="00AE7AF0"/>
    <w:rsid w:val="00B500CA"/>
    <w:rsid w:val="00B73B30"/>
    <w:rsid w:val="00B84531"/>
    <w:rsid w:val="00B86314"/>
    <w:rsid w:val="00B961C0"/>
    <w:rsid w:val="00BA1C2E"/>
    <w:rsid w:val="00BB74A3"/>
    <w:rsid w:val="00BC200B"/>
    <w:rsid w:val="00BC4756"/>
    <w:rsid w:val="00BC69A4"/>
    <w:rsid w:val="00BE0680"/>
    <w:rsid w:val="00BE305F"/>
    <w:rsid w:val="00BE7BA3"/>
    <w:rsid w:val="00BF5682"/>
    <w:rsid w:val="00BF7B09"/>
    <w:rsid w:val="00C077D9"/>
    <w:rsid w:val="00C20A95"/>
    <w:rsid w:val="00C2692F"/>
    <w:rsid w:val="00C3207C"/>
    <w:rsid w:val="00C400E1"/>
    <w:rsid w:val="00C41187"/>
    <w:rsid w:val="00C63C31"/>
    <w:rsid w:val="00C757A0"/>
    <w:rsid w:val="00C760DE"/>
    <w:rsid w:val="00C82630"/>
    <w:rsid w:val="00C85B4E"/>
    <w:rsid w:val="00C907F7"/>
    <w:rsid w:val="00CA2103"/>
    <w:rsid w:val="00CB6B99"/>
    <w:rsid w:val="00CE15A0"/>
    <w:rsid w:val="00CE4C87"/>
    <w:rsid w:val="00CE544A"/>
    <w:rsid w:val="00CF4479"/>
    <w:rsid w:val="00D11E1C"/>
    <w:rsid w:val="00D160B0"/>
    <w:rsid w:val="00D17F94"/>
    <w:rsid w:val="00D208C6"/>
    <w:rsid w:val="00D223FC"/>
    <w:rsid w:val="00D26D1E"/>
    <w:rsid w:val="00D474CF"/>
    <w:rsid w:val="00D4774C"/>
    <w:rsid w:val="00D51F4F"/>
    <w:rsid w:val="00D5547E"/>
    <w:rsid w:val="00D56D5C"/>
    <w:rsid w:val="00D70096"/>
    <w:rsid w:val="00D71D8D"/>
    <w:rsid w:val="00D869A1"/>
    <w:rsid w:val="00DA413F"/>
    <w:rsid w:val="00DA4559"/>
    <w:rsid w:val="00DA4584"/>
    <w:rsid w:val="00DA614B"/>
    <w:rsid w:val="00DC3060"/>
    <w:rsid w:val="00DC70EE"/>
    <w:rsid w:val="00DE0FB2"/>
    <w:rsid w:val="00DF093E"/>
    <w:rsid w:val="00E01F42"/>
    <w:rsid w:val="00E206D6"/>
    <w:rsid w:val="00E3366E"/>
    <w:rsid w:val="00E52086"/>
    <w:rsid w:val="00E543A6"/>
    <w:rsid w:val="00E60479"/>
    <w:rsid w:val="00E6084A"/>
    <w:rsid w:val="00E61D73"/>
    <w:rsid w:val="00E73684"/>
    <w:rsid w:val="00E74E79"/>
    <w:rsid w:val="00E818D6"/>
    <w:rsid w:val="00E87F7A"/>
    <w:rsid w:val="00E96BD7"/>
    <w:rsid w:val="00EA0DB1"/>
    <w:rsid w:val="00EA0EE9"/>
    <w:rsid w:val="00ED52CA"/>
    <w:rsid w:val="00ED5860"/>
    <w:rsid w:val="00EE35C9"/>
    <w:rsid w:val="00F05ECA"/>
    <w:rsid w:val="00F20597"/>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FootnoteText">
    <w:name w:val="footnote text"/>
    <w:basedOn w:val="Normal"/>
    <w:link w:val="FootnoteTextChar"/>
    <w:rsid w:val="00D71D8D"/>
    <w:pPr>
      <w:spacing w:after="0"/>
    </w:pPr>
    <w:rPr>
      <w:color w:val="auto"/>
      <w:sz w:val="20"/>
      <w:szCs w:val="20"/>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FootnoteTextChar">
    <w:name w:val="Footnote Text Char"/>
    <w:basedOn w:val="DefaultParagraphFont"/>
    <w:link w:val="FootnoteText"/>
    <w:rsid w:val="00D71D8D"/>
    <w:rPr>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otnoteReference">
    <w:name w:val="footnote reference"/>
    <w:basedOn w:val="DefaultParagraphFont"/>
    <w:rsid w:val="00D71D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FootnoteText">
    <w:name w:val="footnote text"/>
    <w:basedOn w:val="Normal"/>
    <w:link w:val="FootnoteTextChar"/>
    <w:rsid w:val="00D71D8D"/>
    <w:pPr>
      <w:spacing w:after="0"/>
    </w:pPr>
    <w:rPr>
      <w:color w:val="auto"/>
      <w:sz w:val="20"/>
      <w:szCs w:val="20"/>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FootnoteTextChar">
    <w:name w:val="Footnote Text Char"/>
    <w:basedOn w:val="DefaultParagraphFont"/>
    <w:link w:val="FootnoteText"/>
    <w:rsid w:val="00D71D8D"/>
    <w:rPr>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otnoteReference">
    <w:name w:val="footnote reference"/>
    <w:basedOn w:val="DefaultParagraphFont"/>
    <w:rsid w:val="00D71D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11676333">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15102072">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lewis@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A25ED-430E-43B3-9CBB-4FF74BA8D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EC768A79</Template>
  <TotalTime>7</TotalTime>
  <Pages>10</Pages>
  <Words>3921</Words>
  <Characters>21075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cphythian</cp:lastModifiedBy>
  <cp:revision>5</cp:revision>
  <cp:lastPrinted>2018-01-17T13:55:00Z</cp:lastPrinted>
  <dcterms:created xsi:type="dcterms:W3CDTF">2018-01-23T09:24:00Z</dcterms:created>
  <dcterms:modified xsi:type="dcterms:W3CDTF">2018-02-02T12:34:00Z</dcterms:modified>
</cp:coreProperties>
</file>